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F67A" w14:textId="5C476C49" w:rsidR="00CF347C" w:rsidRDefault="00477ADB">
      <w:pPr>
        <w:rPr>
          <w:rFonts w:ascii="Arial" w:hAnsi="Arial" w:cs="Arial"/>
          <w:b/>
          <w:bCs/>
          <w:sz w:val="24"/>
          <w:szCs w:val="24"/>
          <w:u w:val="single"/>
        </w:rPr>
      </w:pPr>
      <w:r w:rsidRPr="00477ADB">
        <w:rPr>
          <w:rFonts w:ascii="Arial" w:hAnsi="Arial" w:cs="Arial"/>
          <w:b/>
          <w:bCs/>
          <w:sz w:val="24"/>
          <w:szCs w:val="24"/>
          <w:u w:val="single"/>
        </w:rPr>
        <w:t xml:space="preserve">NPCC Finance Co-ordinating Committee </w:t>
      </w:r>
    </w:p>
    <w:p w14:paraId="414AF4E7" w14:textId="2C038F66" w:rsidR="00477ADB" w:rsidRDefault="00477ADB">
      <w:pPr>
        <w:rPr>
          <w:rFonts w:ascii="Arial" w:hAnsi="Arial" w:cs="Arial"/>
          <w:b/>
          <w:bCs/>
          <w:sz w:val="24"/>
          <w:szCs w:val="24"/>
          <w:u w:val="single"/>
        </w:rPr>
      </w:pPr>
      <w:r>
        <w:rPr>
          <w:rFonts w:ascii="Arial" w:hAnsi="Arial" w:cs="Arial"/>
          <w:b/>
          <w:bCs/>
          <w:sz w:val="24"/>
          <w:szCs w:val="24"/>
          <w:u w:val="single"/>
        </w:rPr>
        <w:t>Contextual Note</w:t>
      </w:r>
    </w:p>
    <w:p w14:paraId="5DC6E9F9" w14:textId="77777777" w:rsidR="00815FA9" w:rsidRDefault="00477ADB">
      <w:pPr>
        <w:rPr>
          <w:rFonts w:ascii="Arial" w:hAnsi="Arial" w:cs="Arial"/>
          <w:sz w:val="24"/>
          <w:szCs w:val="24"/>
        </w:rPr>
      </w:pPr>
      <w:r>
        <w:rPr>
          <w:rFonts w:ascii="Arial" w:hAnsi="Arial" w:cs="Arial"/>
          <w:sz w:val="24"/>
          <w:szCs w:val="24"/>
        </w:rPr>
        <w:t xml:space="preserve">This note </w:t>
      </w:r>
      <w:r w:rsidR="00815FA9">
        <w:rPr>
          <w:rFonts w:ascii="Arial" w:hAnsi="Arial" w:cs="Arial"/>
          <w:sz w:val="24"/>
          <w:szCs w:val="24"/>
        </w:rPr>
        <w:t>gives information in respect of the issues facing the police service in terms of finance. It is intended to provide context in terms of the financial issues facing the service which inevitably impacts on service delivery.</w:t>
      </w:r>
    </w:p>
    <w:p w14:paraId="05EA93EE" w14:textId="77777777" w:rsidR="00783EBD" w:rsidRDefault="00783EBD">
      <w:pPr>
        <w:rPr>
          <w:rFonts w:ascii="Arial" w:hAnsi="Arial" w:cs="Arial"/>
          <w:sz w:val="24"/>
          <w:szCs w:val="24"/>
        </w:rPr>
      </w:pPr>
    </w:p>
    <w:p w14:paraId="44573EE6" w14:textId="4A78BF45" w:rsidR="00815FA9" w:rsidRDefault="00140CBB">
      <w:pPr>
        <w:rPr>
          <w:rFonts w:ascii="Arial" w:hAnsi="Arial" w:cs="Arial"/>
          <w:sz w:val="24"/>
          <w:szCs w:val="24"/>
          <w:u w:val="single"/>
        </w:rPr>
      </w:pPr>
      <w:r w:rsidRPr="00140CBB">
        <w:rPr>
          <w:rFonts w:ascii="Arial" w:hAnsi="Arial" w:cs="Arial"/>
          <w:sz w:val="24"/>
          <w:szCs w:val="24"/>
          <w:u w:val="single"/>
        </w:rPr>
        <w:t>Historic Spend</w:t>
      </w:r>
      <w:r>
        <w:rPr>
          <w:rFonts w:ascii="Arial" w:hAnsi="Arial" w:cs="Arial"/>
          <w:sz w:val="24"/>
          <w:szCs w:val="24"/>
          <w:u w:val="single"/>
        </w:rPr>
        <w:t xml:space="preserve"> v CPI Changes </w:t>
      </w:r>
    </w:p>
    <w:p w14:paraId="5F7EC27A" w14:textId="2B00FB58" w:rsidR="00783EBD" w:rsidRDefault="00140CBB">
      <w:pPr>
        <w:rPr>
          <w:rFonts w:ascii="Arial" w:hAnsi="Arial" w:cs="Arial"/>
          <w:sz w:val="24"/>
          <w:szCs w:val="24"/>
        </w:rPr>
      </w:pPr>
      <w:r>
        <w:rPr>
          <w:rFonts w:ascii="Arial" w:hAnsi="Arial" w:cs="Arial"/>
          <w:sz w:val="24"/>
          <w:szCs w:val="24"/>
        </w:rPr>
        <w:t>The graph below shows historic % increases and decreases in net revenue expenditure</w:t>
      </w:r>
      <w:r w:rsidR="005A3523">
        <w:rPr>
          <w:rFonts w:ascii="Arial" w:hAnsi="Arial" w:cs="Arial"/>
          <w:sz w:val="24"/>
          <w:szCs w:val="24"/>
        </w:rPr>
        <w:t xml:space="preserve"> of English and Welsh forces </w:t>
      </w:r>
      <w:r>
        <w:rPr>
          <w:rFonts w:ascii="Arial" w:hAnsi="Arial" w:cs="Arial"/>
          <w:sz w:val="24"/>
          <w:szCs w:val="24"/>
        </w:rPr>
        <w:t xml:space="preserve">since 2010. </w:t>
      </w:r>
      <w:r w:rsidR="00BD02E7">
        <w:rPr>
          <w:rFonts w:ascii="Arial" w:hAnsi="Arial" w:cs="Arial"/>
          <w:sz w:val="24"/>
          <w:szCs w:val="24"/>
        </w:rPr>
        <w:t>In recent years NRE has increased through a combination of grant increases</w:t>
      </w:r>
      <w:r w:rsidR="00783EBD">
        <w:rPr>
          <w:rFonts w:ascii="Arial" w:hAnsi="Arial" w:cs="Arial"/>
          <w:sz w:val="24"/>
          <w:szCs w:val="24"/>
        </w:rPr>
        <w:t>, mainly related</w:t>
      </w:r>
      <w:r w:rsidR="00BD02E7">
        <w:rPr>
          <w:rFonts w:ascii="Arial" w:hAnsi="Arial" w:cs="Arial"/>
          <w:sz w:val="24"/>
          <w:szCs w:val="24"/>
        </w:rPr>
        <w:t xml:space="preserve"> to the </w:t>
      </w:r>
      <w:r w:rsidR="002B05F5">
        <w:rPr>
          <w:rFonts w:ascii="Arial" w:hAnsi="Arial" w:cs="Arial"/>
          <w:sz w:val="24"/>
          <w:szCs w:val="24"/>
        </w:rPr>
        <w:t>20,000-officer</w:t>
      </w:r>
      <w:r w:rsidR="00BD02E7">
        <w:rPr>
          <w:rFonts w:ascii="Arial" w:hAnsi="Arial" w:cs="Arial"/>
          <w:sz w:val="24"/>
          <w:szCs w:val="24"/>
        </w:rPr>
        <w:t xml:space="preserve"> uplift programme</w:t>
      </w:r>
      <w:r w:rsidR="00783EBD">
        <w:rPr>
          <w:rFonts w:ascii="Arial" w:hAnsi="Arial" w:cs="Arial"/>
          <w:sz w:val="24"/>
          <w:szCs w:val="24"/>
        </w:rPr>
        <w:t xml:space="preserve"> and other cost pressures</w:t>
      </w:r>
      <w:r w:rsidR="00BD02E7">
        <w:rPr>
          <w:rFonts w:ascii="Arial" w:hAnsi="Arial" w:cs="Arial"/>
          <w:sz w:val="24"/>
          <w:szCs w:val="24"/>
        </w:rPr>
        <w:t xml:space="preserve">, </w:t>
      </w:r>
      <w:proofErr w:type="gramStart"/>
      <w:r w:rsidR="00BD02E7">
        <w:rPr>
          <w:rFonts w:ascii="Arial" w:hAnsi="Arial" w:cs="Arial"/>
          <w:sz w:val="24"/>
          <w:szCs w:val="24"/>
        </w:rPr>
        <w:t>and also</w:t>
      </w:r>
      <w:proofErr w:type="gramEnd"/>
      <w:r w:rsidR="00BD02E7">
        <w:rPr>
          <w:rFonts w:ascii="Arial" w:hAnsi="Arial" w:cs="Arial"/>
          <w:sz w:val="24"/>
          <w:szCs w:val="24"/>
        </w:rPr>
        <w:t xml:space="preserve"> precept increases.</w:t>
      </w:r>
      <w:r w:rsidR="00F006E5">
        <w:rPr>
          <w:rFonts w:ascii="Arial" w:hAnsi="Arial" w:cs="Arial"/>
          <w:sz w:val="24"/>
          <w:szCs w:val="24"/>
        </w:rPr>
        <w:t xml:space="preserve"> In 2010/11 total NRE was £12.6bn and in 2023/24 had increased to </w:t>
      </w:r>
      <w:r w:rsidR="008B4C08">
        <w:rPr>
          <w:rFonts w:ascii="Arial" w:hAnsi="Arial" w:cs="Arial"/>
          <w:sz w:val="24"/>
          <w:szCs w:val="24"/>
        </w:rPr>
        <w:t>£15.4bn</w:t>
      </w:r>
      <w:r w:rsidR="008F6B3E">
        <w:rPr>
          <w:rFonts w:ascii="Arial" w:hAnsi="Arial" w:cs="Arial"/>
          <w:sz w:val="24"/>
          <w:szCs w:val="24"/>
        </w:rPr>
        <w:t>, an increase of c23%.</w:t>
      </w:r>
    </w:p>
    <w:p w14:paraId="61DE2630" w14:textId="77777777" w:rsidR="00783EBD" w:rsidRDefault="00783EBD">
      <w:pPr>
        <w:rPr>
          <w:rFonts w:ascii="Arial" w:hAnsi="Arial" w:cs="Arial"/>
          <w:sz w:val="24"/>
          <w:szCs w:val="24"/>
        </w:rPr>
      </w:pPr>
    </w:p>
    <w:p w14:paraId="0202E7C5" w14:textId="4760969C" w:rsidR="00477ADB" w:rsidRDefault="00140CBB">
      <w:pPr>
        <w:rPr>
          <w:rFonts w:ascii="Arial" w:hAnsi="Arial" w:cs="Arial"/>
          <w:sz w:val="24"/>
          <w:szCs w:val="24"/>
        </w:rPr>
      </w:pPr>
      <w:r w:rsidRPr="00140CBB">
        <w:rPr>
          <w:rFonts w:ascii="Arial" w:hAnsi="Arial" w:cs="Arial"/>
          <w:noProof/>
          <w:sz w:val="24"/>
          <w:szCs w:val="24"/>
        </w:rPr>
        <w:drawing>
          <wp:inline distT="0" distB="0" distL="0" distR="0" wp14:anchorId="1AD916F8" wp14:editId="6BD978C1">
            <wp:extent cx="5731510" cy="3047365"/>
            <wp:effectExtent l="0" t="0" r="2540" b="635"/>
            <wp:docPr id="919118278" name="Chart 1">
              <a:extLst xmlns:a="http://schemas.openxmlformats.org/drawingml/2006/main">
                <a:ext uri="{FF2B5EF4-FFF2-40B4-BE49-F238E27FC236}">
                  <a16:creationId xmlns:a16="http://schemas.microsoft.com/office/drawing/2014/main" id="{52904285-D47C-5D74-C0CB-9A92DF532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815FA9">
        <w:rPr>
          <w:rFonts w:ascii="Arial" w:hAnsi="Arial" w:cs="Arial"/>
          <w:sz w:val="24"/>
          <w:szCs w:val="24"/>
        </w:rPr>
        <w:t xml:space="preserve"> </w:t>
      </w:r>
    </w:p>
    <w:p w14:paraId="7D0AB316" w14:textId="77777777" w:rsidR="008B4C08" w:rsidRDefault="008B4C08">
      <w:pPr>
        <w:rPr>
          <w:rFonts w:ascii="Arial" w:hAnsi="Arial" w:cs="Arial"/>
          <w:sz w:val="24"/>
          <w:szCs w:val="24"/>
        </w:rPr>
      </w:pPr>
    </w:p>
    <w:p w14:paraId="289E6FDF" w14:textId="62E622B6" w:rsidR="00783EBD" w:rsidRPr="00783EBD" w:rsidRDefault="00783EBD">
      <w:pPr>
        <w:rPr>
          <w:rFonts w:ascii="Arial" w:hAnsi="Arial" w:cs="Arial"/>
          <w:sz w:val="24"/>
          <w:szCs w:val="24"/>
          <w:u w:val="single"/>
        </w:rPr>
      </w:pPr>
      <w:r w:rsidRPr="00783EBD">
        <w:rPr>
          <w:rFonts w:ascii="Arial" w:hAnsi="Arial" w:cs="Arial"/>
          <w:sz w:val="24"/>
          <w:szCs w:val="24"/>
          <w:u w:val="single"/>
        </w:rPr>
        <w:t xml:space="preserve">Historic Funding </w:t>
      </w:r>
    </w:p>
    <w:p w14:paraId="5AD8AA47" w14:textId="393A58AE" w:rsidR="00783EBD" w:rsidRDefault="00783EBD">
      <w:pPr>
        <w:rPr>
          <w:rFonts w:ascii="Arial" w:hAnsi="Arial" w:cs="Arial"/>
          <w:sz w:val="24"/>
          <w:szCs w:val="24"/>
        </w:rPr>
      </w:pPr>
      <w:r>
        <w:rPr>
          <w:rFonts w:ascii="Arial" w:hAnsi="Arial" w:cs="Arial"/>
          <w:sz w:val="24"/>
          <w:szCs w:val="24"/>
        </w:rPr>
        <w:t>In broad terms, police forces</w:t>
      </w:r>
      <w:r w:rsidR="008F6B3E">
        <w:rPr>
          <w:rFonts w:ascii="Arial" w:hAnsi="Arial" w:cs="Arial"/>
          <w:sz w:val="24"/>
          <w:szCs w:val="24"/>
        </w:rPr>
        <w:t xml:space="preserve"> net revenue budgets</w:t>
      </w:r>
      <w:r>
        <w:rPr>
          <w:rFonts w:ascii="Arial" w:hAnsi="Arial" w:cs="Arial"/>
          <w:sz w:val="24"/>
          <w:szCs w:val="24"/>
        </w:rPr>
        <w:t xml:space="preserve"> are funded from government grant and precept. Government grant is determined by the Home Office and precept levels are set by police and Crime Commissioners. The graph below shows the change in the funding split between the two main funding sources since 2010/11. In overall </w:t>
      </w:r>
      <w:r w:rsidR="002B05F5">
        <w:rPr>
          <w:rFonts w:ascii="Arial" w:hAnsi="Arial" w:cs="Arial"/>
          <w:sz w:val="24"/>
          <w:szCs w:val="24"/>
        </w:rPr>
        <w:t>terms,</w:t>
      </w:r>
      <w:r>
        <w:rPr>
          <w:rFonts w:ascii="Arial" w:hAnsi="Arial" w:cs="Arial"/>
          <w:sz w:val="24"/>
          <w:szCs w:val="24"/>
        </w:rPr>
        <w:t xml:space="preserve"> precept funding is increasing as a % of total funding</w:t>
      </w:r>
      <w:r w:rsidR="00CD5924">
        <w:rPr>
          <w:rFonts w:ascii="Arial" w:hAnsi="Arial" w:cs="Arial"/>
          <w:sz w:val="24"/>
          <w:szCs w:val="24"/>
        </w:rPr>
        <w:t>, from c25% in 2010 to c33% in 2023</w:t>
      </w:r>
      <w:r>
        <w:rPr>
          <w:rFonts w:ascii="Arial" w:hAnsi="Arial" w:cs="Arial"/>
          <w:sz w:val="24"/>
          <w:szCs w:val="24"/>
        </w:rPr>
        <w:t xml:space="preserve">. Increases in grant funding in recent years mainly relates to funding the </w:t>
      </w:r>
      <w:r w:rsidR="002B05F5">
        <w:rPr>
          <w:rFonts w:ascii="Arial" w:hAnsi="Arial" w:cs="Arial"/>
          <w:sz w:val="24"/>
          <w:szCs w:val="24"/>
        </w:rPr>
        <w:t>20,000-officer</w:t>
      </w:r>
      <w:r>
        <w:rPr>
          <w:rFonts w:ascii="Arial" w:hAnsi="Arial" w:cs="Arial"/>
          <w:sz w:val="24"/>
          <w:szCs w:val="24"/>
        </w:rPr>
        <w:t xml:space="preserve"> uplift programme </w:t>
      </w:r>
      <w:proofErr w:type="gramStart"/>
      <w:r>
        <w:rPr>
          <w:rFonts w:ascii="Arial" w:hAnsi="Arial" w:cs="Arial"/>
          <w:sz w:val="24"/>
          <w:szCs w:val="24"/>
        </w:rPr>
        <w:t>and also</w:t>
      </w:r>
      <w:proofErr w:type="gramEnd"/>
      <w:r>
        <w:rPr>
          <w:rFonts w:ascii="Arial" w:hAnsi="Arial" w:cs="Arial"/>
          <w:sz w:val="24"/>
          <w:szCs w:val="24"/>
        </w:rPr>
        <w:t xml:space="preserve"> pay related pressures. At a local level, there is </w:t>
      </w:r>
      <w:r w:rsidR="008F6B3E">
        <w:rPr>
          <w:rFonts w:ascii="Arial" w:hAnsi="Arial" w:cs="Arial"/>
          <w:sz w:val="24"/>
          <w:szCs w:val="24"/>
        </w:rPr>
        <w:t xml:space="preserve">wide </w:t>
      </w:r>
      <w:r>
        <w:rPr>
          <w:rFonts w:ascii="Arial" w:hAnsi="Arial" w:cs="Arial"/>
          <w:sz w:val="24"/>
          <w:szCs w:val="24"/>
        </w:rPr>
        <w:t>variation</w:t>
      </w:r>
      <w:r w:rsidR="008F6B3E">
        <w:rPr>
          <w:rFonts w:ascii="Arial" w:hAnsi="Arial" w:cs="Arial"/>
          <w:sz w:val="24"/>
          <w:szCs w:val="24"/>
        </w:rPr>
        <w:t xml:space="preserve"> in the % </w:t>
      </w:r>
      <w:r>
        <w:rPr>
          <w:rFonts w:ascii="Arial" w:hAnsi="Arial" w:cs="Arial"/>
          <w:sz w:val="24"/>
          <w:szCs w:val="24"/>
        </w:rPr>
        <w:t>of force budgets which are funding locally compared to grant funding.</w:t>
      </w:r>
    </w:p>
    <w:p w14:paraId="7B907A03" w14:textId="2EDEEE4D" w:rsidR="008B4C08" w:rsidRDefault="00783EBD">
      <w:pPr>
        <w:rPr>
          <w:rFonts w:ascii="Arial" w:hAnsi="Arial" w:cs="Arial"/>
          <w:sz w:val="24"/>
          <w:szCs w:val="24"/>
        </w:rPr>
      </w:pPr>
      <w:r w:rsidRPr="00783EBD">
        <w:rPr>
          <w:rFonts w:ascii="Arial" w:hAnsi="Arial" w:cs="Arial"/>
          <w:noProof/>
          <w:sz w:val="24"/>
          <w:szCs w:val="24"/>
        </w:rPr>
        <w:lastRenderedPageBreak/>
        <w:drawing>
          <wp:inline distT="0" distB="0" distL="0" distR="0" wp14:anchorId="3968CF79" wp14:editId="57A80938">
            <wp:extent cx="5731510" cy="3290570"/>
            <wp:effectExtent l="0" t="0" r="2540" b="5080"/>
            <wp:docPr id="1848123429" name="Chart 1">
              <a:extLst xmlns:a="http://schemas.openxmlformats.org/drawingml/2006/main">
                <a:ext uri="{FF2B5EF4-FFF2-40B4-BE49-F238E27FC236}">
                  <a16:creationId xmlns:a16="http://schemas.microsoft.com/office/drawing/2014/main" id="{A926E435-5FF7-747C-9161-AC9EEDC94A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3248B1" w14:textId="74D68787" w:rsidR="00BA4EF2" w:rsidRDefault="00BA4EF2">
      <w:pPr>
        <w:rPr>
          <w:rFonts w:ascii="Arial" w:hAnsi="Arial" w:cs="Arial"/>
          <w:sz w:val="24"/>
          <w:szCs w:val="24"/>
          <w:u w:val="single"/>
        </w:rPr>
      </w:pPr>
      <w:r w:rsidRPr="00BA4EF2">
        <w:rPr>
          <w:rFonts w:ascii="Arial" w:hAnsi="Arial" w:cs="Arial"/>
          <w:sz w:val="24"/>
          <w:szCs w:val="24"/>
          <w:u w:val="single"/>
        </w:rPr>
        <w:t>Workforce change</w:t>
      </w:r>
    </w:p>
    <w:p w14:paraId="087A7BE0" w14:textId="646A6095" w:rsidR="00BA4EF2" w:rsidRPr="00BA4EF2" w:rsidRDefault="004B5583">
      <w:pPr>
        <w:rPr>
          <w:rFonts w:ascii="Arial" w:hAnsi="Arial" w:cs="Arial"/>
          <w:sz w:val="24"/>
          <w:szCs w:val="24"/>
        </w:rPr>
      </w:pPr>
      <w:r>
        <w:rPr>
          <w:rFonts w:ascii="Arial" w:hAnsi="Arial" w:cs="Arial"/>
          <w:sz w:val="24"/>
          <w:szCs w:val="24"/>
        </w:rPr>
        <w:t xml:space="preserve">At present there are approx. 148k police officers </w:t>
      </w:r>
      <w:r w:rsidR="00CD5924">
        <w:rPr>
          <w:rFonts w:ascii="Arial" w:hAnsi="Arial" w:cs="Arial"/>
          <w:sz w:val="24"/>
          <w:szCs w:val="24"/>
        </w:rPr>
        <w:t>across England Wales</w:t>
      </w:r>
      <w:r>
        <w:rPr>
          <w:rFonts w:ascii="Arial" w:hAnsi="Arial" w:cs="Arial"/>
          <w:sz w:val="24"/>
          <w:szCs w:val="24"/>
        </w:rPr>
        <w:t>.</w:t>
      </w:r>
      <w:r w:rsidR="00CD5924">
        <w:rPr>
          <w:rFonts w:ascii="Arial" w:hAnsi="Arial" w:cs="Arial"/>
          <w:sz w:val="24"/>
          <w:szCs w:val="24"/>
        </w:rPr>
        <w:t xml:space="preserve"> </w:t>
      </w:r>
      <w:r w:rsidR="00BA4EF2">
        <w:rPr>
          <w:rFonts w:ascii="Arial" w:hAnsi="Arial" w:cs="Arial"/>
          <w:sz w:val="24"/>
          <w:szCs w:val="24"/>
        </w:rPr>
        <w:t xml:space="preserve">The graph below shows the change in officer numbers since 2010. In recent years numbers have increased due to the </w:t>
      </w:r>
      <w:r w:rsidR="002B05F5">
        <w:rPr>
          <w:rFonts w:ascii="Arial" w:hAnsi="Arial" w:cs="Arial"/>
          <w:sz w:val="24"/>
          <w:szCs w:val="24"/>
        </w:rPr>
        <w:t>20,000-officer</w:t>
      </w:r>
      <w:r w:rsidR="00BA4EF2">
        <w:rPr>
          <w:rFonts w:ascii="Arial" w:hAnsi="Arial" w:cs="Arial"/>
          <w:sz w:val="24"/>
          <w:szCs w:val="24"/>
        </w:rPr>
        <w:t xml:space="preserve"> uplift programme, with some additional officer numbers funded from local precept. The recent </w:t>
      </w:r>
      <w:r w:rsidR="00CD5924">
        <w:rPr>
          <w:rFonts w:ascii="Arial" w:hAnsi="Arial" w:cs="Arial"/>
          <w:sz w:val="24"/>
          <w:szCs w:val="24"/>
        </w:rPr>
        <w:t xml:space="preserve">increase </w:t>
      </w:r>
      <w:r w:rsidR="00BA4EF2">
        <w:rPr>
          <w:rFonts w:ascii="Arial" w:hAnsi="Arial" w:cs="Arial"/>
          <w:sz w:val="24"/>
          <w:szCs w:val="24"/>
        </w:rPr>
        <w:t xml:space="preserve">in officer numbers means a young </w:t>
      </w:r>
      <w:r w:rsidR="002B05F5">
        <w:rPr>
          <w:rFonts w:ascii="Arial" w:hAnsi="Arial" w:cs="Arial"/>
          <w:sz w:val="24"/>
          <w:szCs w:val="24"/>
        </w:rPr>
        <w:t>in-service</w:t>
      </w:r>
      <w:r w:rsidR="00BA4EF2">
        <w:rPr>
          <w:rFonts w:ascii="Arial" w:hAnsi="Arial" w:cs="Arial"/>
          <w:sz w:val="24"/>
          <w:szCs w:val="24"/>
        </w:rPr>
        <w:t xml:space="preserve"> workforce who require additional support and training.</w:t>
      </w:r>
    </w:p>
    <w:p w14:paraId="79E08C20" w14:textId="4130839A" w:rsidR="00BA4EF2" w:rsidRDefault="00BA4EF2">
      <w:pPr>
        <w:rPr>
          <w:rFonts w:ascii="Arial" w:hAnsi="Arial" w:cs="Arial"/>
          <w:sz w:val="24"/>
          <w:szCs w:val="24"/>
        </w:rPr>
      </w:pPr>
      <w:r>
        <w:rPr>
          <w:noProof/>
        </w:rPr>
        <w:drawing>
          <wp:inline distT="0" distB="0" distL="0" distR="0" wp14:anchorId="7D357353" wp14:editId="1CF4FAB6">
            <wp:extent cx="5731510" cy="2639060"/>
            <wp:effectExtent l="0" t="0" r="2540" b="8890"/>
            <wp:docPr id="5" name="Picture 4" descr="A graph with purple bars&#10;&#10;Description automatically generated with medium confidence">
              <a:extLst xmlns:a="http://schemas.openxmlformats.org/drawingml/2006/main">
                <a:ext uri="{FF2B5EF4-FFF2-40B4-BE49-F238E27FC236}">
                  <a16:creationId xmlns:a16="http://schemas.microsoft.com/office/drawing/2014/main" id="{556F9E8A-1329-77B0-CA51-3326D7E48A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with purple bars&#10;&#10;Description automatically generated with medium confidence">
                      <a:extLst>
                        <a:ext uri="{FF2B5EF4-FFF2-40B4-BE49-F238E27FC236}">
                          <a16:creationId xmlns:a16="http://schemas.microsoft.com/office/drawing/2014/main" id="{556F9E8A-1329-77B0-CA51-3326D7E48AFD}"/>
                        </a:ext>
                      </a:extLst>
                    </pic:cNvPr>
                    <pic:cNvPicPr>
                      <a:picLocks noChangeAspect="1"/>
                    </pic:cNvPicPr>
                  </pic:nvPicPr>
                  <pic:blipFill>
                    <a:blip r:embed="rId7"/>
                    <a:stretch>
                      <a:fillRect/>
                    </a:stretch>
                  </pic:blipFill>
                  <pic:spPr>
                    <a:xfrm>
                      <a:off x="0" y="0"/>
                      <a:ext cx="5731510" cy="2639060"/>
                    </a:xfrm>
                    <a:prstGeom prst="rect">
                      <a:avLst/>
                    </a:prstGeom>
                  </pic:spPr>
                </pic:pic>
              </a:graphicData>
            </a:graphic>
          </wp:inline>
        </w:drawing>
      </w:r>
    </w:p>
    <w:p w14:paraId="746F8E31" w14:textId="77777777" w:rsidR="00BA4EF2" w:rsidRDefault="00BA4EF2">
      <w:pPr>
        <w:rPr>
          <w:rFonts w:ascii="Arial" w:hAnsi="Arial" w:cs="Arial"/>
          <w:sz w:val="24"/>
          <w:szCs w:val="24"/>
        </w:rPr>
      </w:pPr>
    </w:p>
    <w:p w14:paraId="2BBA5E7B" w14:textId="7EEDB144" w:rsidR="00BA4EF2" w:rsidRPr="004B5583" w:rsidRDefault="004B5583">
      <w:pPr>
        <w:rPr>
          <w:rFonts w:ascii="Arial" w:hAnsi="Arial" w:cs="Arial"/>
          <w:sz w:val="24"/>
          <w:szCs w:val="24"/>
          <w:u w:val="single"/>
        </w:rPr>
      </w:pPr>
      <w:r w:rsidRPr="004B5583">
        <w:rPr>
          <w:rFonts w:ascii="Arial" w:hAnsi="Arial" w:cs="Arial"/>
          <w:sz w:val="24"/>
          <w:szCs w:val="24"/>
          <w:u w:val="single"/>
        </w:rPr>
        <w:t>Police Staff Workforce</w:t>
      </w:r>
    </w:p>
    <w:p w14:paraId="1753B885" w14:textId="6148C869" w:rsidR="004B5583" w:rsidRDefault="004B5583">
      <w:pPr>
        <w:rPr>
          <w:rFonts w:ascii="Arial" w:hAnsi="Arial" w:cs="Arial"/>
          <w:sz w:val="24"/>
          <w:szCs w:val="24"/>
        </w:rPr>
      </w:pPr>
      <w:r>
        <w:rPr>
          <w:rFonts w:ascii="Arial" w:hAnsi="Arial" w:cs="Arial"/>
          <w:sz w:val="24"/>
          <w:szCs w:val="24"/>
        </w:rPr>
        <w:t>There are approx. 86k police staff and 9k Police Community Support Officers. In relation to police staff the majority</w:t>
      </w:r>
      <w:r w:rsidR="009C5B91">
        <w:rPr>
          <w:rFonts w:ascii="Arial" w:hAnsi="Arial" w:cs="Arial"/>
          <w:sz w:val="24"/>
          <w:szCs w:val="24"/>
        </w:rPr>
        <w:t>, around two thirds,</w:t>
      </w:r>
      <w:r>
        <w:rPr>
          <w:rFonts w:ascii="Arial" w:hAnsi="Arial" w:cs="Arial"/>
          <w:sz w:val="24"/>
          <w:szCs w:val="24"/>
        </w:rPr>
        <w:t xml:space="preserve"> work in front facing </w:t>
      </w:r>
      <w:r w:rsidR="002B05F5">
        <w:rPr>
          <w:rFonts w:ascii="Arial" w:hAnsi="Arial" w:cs="Arial"/>
          <w:sz w:val="24"/>
          <w:szCs w:val="24"/>
        </w:rPr>
        <w:t>roles which</w:t>
      </w:r>
      <w:r>
        <w:rPr>
          <w:rFonts w:ascii="Arial" w:hAnsi="Arial" w:cs="Arial"/>
          <w:sz w:val="24"/>
          <w:szCs w:val="24"/>
        </w:rPr>
        <w:t xml:space="preserve"> directly support police officers or the public. The main groups </w:t>
      </w:r>
      <w:r w:rsidR="009D6A7C">
        <w:rPr>
          <w:rFonts w:ascii="Arial" w:hAnsi="Arial" w:cs="Arial"/>
          <w:sz w:val="24"/>
          <w:szCs w:val="24"/>
        </w:rPr>
        <w:t xml:space="preserve">of police staff </w:t>
      </w:r>
      <w:r>
        <w:rPr>
          <w:rFonts w:ascii="Arial" w:hAnsi="Arial" w:cs="Arial"/>
          <w:sz w:val="24"/>
          <w:szCs w:val="24"/>
        </w:rPr>
        <w:t>are as follows, along with indicative numbers:</w:t>
      </w:r>
    </w:p>
    <w:tbl>
      <w:tblPr>
        <w:tblStyle w:val="TableGrid"/>
        <w:tblW w:w="0" w:type="auto"/>
        <w:tblInd w:w="137" w:type="dxa"/>
        <w:tblLook w:val="04A0" w:firstRow="1" w:lastRow="0" w:firstColumn="1" w:lastColumn="0" w:noHBand="0" w:noVBand="1"/>
      </w:tblPr>
      <w:tblGrid>
        <w:gridCol w:w="4371"/>
        <w:gridCol w:w="2150"/>
      </w:tblGrid>
      <w:tr w:rsidR="004B5583" w14:paraId="26996C72" w14:textId="77777777" w:rsidTr="004B5583">
        <w:tc>
          <w:tcPr>
            <w:tcW w:w="4371" w:type="dxa"/>
          </w:tcPr>
          <w:p w14:paraId="37D2322C" w14:textId="767E3CDB" w:rsidR="004B5583" w:rsidRPr="004B5583" w:rsidRDefault="004B5583">
            <w:pPr>
              <w:rPr>
                <w:rFonts w:ascii="Arial" w:hAnsi="Arial" w:cs="Arial"/>
                <w:b/>
                <w:bCs/>
                <w:sz w:val="24"/>
                <w:szCs w:val="24"/>
              </w:rPr>
            </w:pPr>
            <w:r w:rsidRPr="004B5583">
              <w:rPr>
                <w:rFonts w:ascii="Arial" w:hAnsi="Arial" w:cs="Arial"/>
                <w:b/>
                <w:bCs/>
                <w:sz w:val="24"/>
                <w:szCs w:val="24"/>
              </w:rPr>
              <w:lastRenderedPageBreak/>
              <w:t>Service Area</w:t>
            </w:r>
          </w:p>
        </w:tc>
        <w:tc>
          <w:tcPr>
            <w:tcW w:w="2150" w:type="dxa"/>
          </w:tcPr>
          <w:p w14:paraId="15DBA6C4" w14:textId="2796EAB4" w:rsidR="004B5583" w:rsidRPr="004B5583" w:rsidRDefault="004B5583">
            <w:pPr>
              <w:rPr>
                <w:rFonts w:ascii="Arial" w:hAnsi="Arial" w:cs="Arial"/>
                <w:b/>
                <w:bCs/>
                <w:sz w:val="24"/>
                <w:szCs w:val="24"/>
              </w:rPr>
            </w:pPr>
            <w:r w:rsidRPr="004B5583">
              <w:rPr>
                <w:rFonts w:ascii="Arial" w:hAnsi="Arial" w:cs="Arial"/>
                <w:b/>
                <w:bCs/>
                <w:sz w:val="24"/>
                <w:szCs w:val="24"/>
              </w:rPr>
              <w:t>000</w:t>
            </w:r>
          </w:p>
        </w:tc>
      </w:tr>
      <w:tr w:rsidR="004B5583" w14:paraId="47EB3ED5" w14:textId="77777777" w:rsidTr="004B5583">
        <w:tc>
          <w:tcPr>
            <w:tcW w:w="4371" w:type="dxa"/>
          </w:tcPr>
          <w:p w14:paraId="66E21094" w14:textId="39CEB14A" w:rsidR="004B5583" w:rsidRDefault="004B5583">
            <w:pPr>
              <w:rPr>
                <w:rFonts w:ascii="Arial" w:hAnsi="Arial" w:cs="Arial"/>
                <w:sz w:val="24"/>
                <w:szCs w:val="24"/>
              </w:rPr>
            </w:pPr>
            <w:r>
              <w:rPr>
                <w:rFonts w:ascii="Arial" w:hAnsi="Arial" w:cs="Arial"/>
                <w:sz w:val="24"/>
                <w:szCs w:val="24"/>
              </w:rPr>
              <w:t>Call handlers/ dealing with the public</w:t>
            </w:r>
          </w:p>
        </w:tc>
        <w:tc>
          <w:tcPr>
            <w:tcW w:w="2150" w:type="dxa"/>
          </w:tcPr>
          <w:p w14:paraId="09A2DC54" w14:textId="2DB13079" w:rsidR="004B5583" w:rsidRDefault="004B5583">
            <w:pPr>
              <w:rPr>
                <w:rFonts w:ascii="Arial" w:hAnsi="Arial" w:cs="Arial"/>
                <w:sz w:val="24"/>
                <w:szCs w:val="24"/>
              </w:rPr>
            </w:pPr>
            <w:r>
              <w:rPr>
                <w:rFonts w:ascii="Arial" w:hAnsi="Arial" w:cs="Arial"/>
                <w:sz w:val="24"/>
                <w:szCs w:val="24"/>
              </w:rPr>
              <w:t>18</w:t>
            </w:r>
          </w:p>
        </w:tc>
      </w:tr>
      <w:tr w:rsidR="004B5583" w14:paraId="6D7AB17C" w14:textId="77777777" w:rsidTr="004B5583">
        <w:tc>
          <w:tcPr>
            <w:tcW w:w="4371" w:type="dxa"/>
          </w:tcPr>
          <w:p w14:paraId="26D653B0" w14:textId="35414748" w:rsidR="004B5583" w:rsidRDefault="004B5583">
            <w:pPr>
              <w:rPr>
                <w:rFonts w:ascii="Arial" w:hAnsi="Arial" w:cs="Arial"/>
                <w:sz w:val="24"/>
                <w:szCs w:val="24"/>
              </w:rPr>
            </w:pPr>
            <w:r>
              <w:rPr>
                <w:rFonts w:ascii="Arial" w:hAnsi="Arial" w:cs="Arial"/>
                <w:sz w:val="24"/>
                <w:szCs w:val="24"/>
              </w:rPr>
              <w:t>Intelligence / investigations</w:t>
            </w:r>
          </w:p>
        </w:tc>
        <w:tc>
          <w:tcPr>
            <w:tcW w:w="2150" w:type="dxa"/>
          </w:tcPr>
          <w:p w14:paraId="07554668" w14:textId="202FC67F" w:rsidR="004B5583" w:rsidRDefault="004B5583">
            <w:pPr>
              <w:rPr>
                <w:rFonts w:ascii="Arial" w:hAnsi="Arial" w:cs="Arial"/>
                <w:sz w:val="24"/>
                <w:szCs w:val="24"/>
              </w:rPr>
            </w:pPr>
            <w:r>
              <w:rPr>
                <w:rFonts w:ascii="Arial" w:hAnsi="Arial" w:cs="Arial"/>
                <w:sz w:val="24"/>
                <w:szCs w:val="24"/>
              </w:rPr>
              <w:t>14</w:t>
            </w:r>
          </w:p>
        </w:tc>
      </w:tr>
      <w:tr w:rsidR="004B5583" w14:paraId="7E332025" w14:textId="77777777" w:rsidTr="004B5583">
        <w:tc>
          <w:tcPr>
            <w:tcW w:w="4371" w:type="dxa"/>
          </w:tcPr>
          <w:p w14:paraId="16F7DA9C" w14:textId="433296E8" w:rsidR="004B5583" w:rsidRDefault="004B5583">
            <w:pPr>
              <w:rPr>
                <w:rFonts w:ascii="Arial" w:hAnsi="Arial" w:cs="Arial"/>
                <w:sz w:val="24"/>
                <w:szCs w:val="24"/>
              </w:rPr>
            </w:pPr>
            <w:r>
              <w:rPr>
                <w:rFonts w:ascii="Arial" w:hAnsi="Arial" w:cs="Arial"/>
                <w:sz w:val="24"/>
                <w:szCs w:val="24"/>
              </w:rPr>
              <w:t>Criminal justice</w:t>
            </w:r>
          </w:p>
        </w:tc>
        <w:tc>
          <w:tcPr>
            <w:tcW w:w="2150" w:type="dxa"/>
          </w:tcPr>
          <w:p w14:paraId="3D8A5030" w14:textId="74BE086C" w:rsidR="004B5583" w:rsidRDefault="004B5583">
            <w:pPr>
              <w:rPr>
                <w:rFonts w:ascii="Arial" w:hAnsi="Arial" w:cs="Arial"/>
                <w:sz w:val="24"/>
                <w:szCs w:val="24"/>
              </w:rPr>
            </w:pPr>
            <w:r>
              <w:rPr>
                <w:rFonts w:ascii="Arial" w:hAnsi="Arial" w:cs="Arial"/>
                <w:sz w:val="24"/>
                <w:szCs w:val="24"/>
              </w:rPr>
              <w:t>14</w:t>
            </w:r>
          </w:p>
        </w:tc>
      </w:tr>
      <w:tr w:rsidR="004B5583" w14:paraId="60647909" w14:textId="77777777" w:rsidTr="004B5583">
        <w:tc>
          <w:tcPr>
            <w:tcW w:w="4371" w:type="dxa"/>
          </w:tcPr>
          <w:p w14:paraId="0A651C10" w14:textId="7B2FB28F" w:rsidR="004B5583" w:rsidRDefault="004B5583">
            <w:pPr>
              <w:rPr>
                <w:rFonts w:ascii="Arial" w:hAnsi="Arial" w:cs="Arial"/>
                <w:sz w:val="24"/>
                <w:szCs w:val="24"/>
              </w:rPr>
            </w:pPr>
            <w:r>
              <w:rPr>
                <w:rFonts w:ascii="Arial" w:hAnsi="Arial" w:cs="Arial"/>
                <w:sz w:val="24"/>
                <w:szCs w:val="24"/>
              </w:rPr>
              <w:t>PCSO’s</w:t>
            </w:r>
          </w:p>
        </w:tc>
        <w:tc>
          <w:tcPr>
            <w:tcW w:w="2150" w:type="dxa"/>
          </w:tcPr>
          <w:p w14:paraId="63F24596" w14:textId="6FE212C1" w:rsidR="004B5583" w:rsidRDefault="004B5583">
            <w:pPr>
              <w:rPr>
                <w:rFonts w:ascii="Arial" w:hAnsi="Arial" w:cs="Arial"/>
                <w:sz w:val="24"/>
                <w:szCs w:val="24"/>
              </w:rPr>
            </w:pPr>
            <w:r>
              <w:rPr>
                <w:rFonts w:ascii="Arial" w:hAnsi="Arial" w:cs="Arial"/>
                <w:sz w:val="24"/>
                <w:szCs w:val="24"/>
              </w:rPr>
              <w:t>9</w:t>
            </w:r>
          </w:p>
        </w:tc>
      </w:tr>
      <w:tr w:rsidR="004B5583" w14:paraId="0BC30397" w14:textId="77777777" w:rsidTr="004B5583">
        <w:tc>
          <w:tcPr>
            <w:tcW w:w="4371" w:type="dxa"/>
          </w:tcPr>
          <w:p w14:paraId="09843D8B" w14:textId="59EDE3FE" w:rsidR="004B5583" w:rsidRDefault="004B5583">
            <w:pPr>
              <w:rPr>
                <w:rFonts w:ascii="Arial" w:hAnsi="Arial" w:cs="Arial"/>
                <w:sz w:val="24"/>
                <w:szCs w:val="24"/>
              </w:rPr>
            </w:pPr>
            <w:r>
              <w:rPr>
                <w:rFonts w:ascii="Arial" w:hAnsi="Arial" w:cs="Arial"/>
                <w:sz w:val="24"/>
                <w:szCs w:val="24"/>
              </w:rPr>
              <w:t xml:space="preserve">Custody </w:t>
            </w:r>
          </w:p>
        </w:tc>
        <w:tc>
          <w:tcPr>
            <w:tcW w:w="2150" w:type="dxa"/>
          </w:tcPr>
          <w:p w14:paraId="3139A6DC" w14:textId="4EF66B3A" w:rsidR="004B5583" w:rsidRDefault="004B5583">
            <w:pPr>
              <w:rPr>
                <w:rFonts w:ascii="Arial" w:hAnsi="Arial" w:cs="Arial"/>
                <w:sz w:val="24"/>
                <w:szCs w:val="24"/>
              </w:rPr>
            </w:pPr>
            <w:r>
              <w:rPr>
                <w:rFonts w:ascii="Arial" w:hAnsi="Arial" w:cs="Arial"/>
                <w:sz w:val="24"/>
                <w:szCs w:val="24"/>
              </w:rPr>
              <w:t>4</w:t>
            </w:r>
          </w:p>
        </w:tc>
      </w:tr>
      <w:tr w:rsidR="004B5583" w14:paraId="7B70662A" w14:textId="77777777" w:rsidTr="004B5583">
        <w:tc>
          <w:tcPr>
            <w:tcW w:w="4371" w:type="dxa"/>
          </w:tcPr>
          <w:p w14:paraId="536D7E23" w14:textId="7D908277" w:rsidR="004B5583" w:rsidRDefault="009C5B91">
            <w:pPr>
              <w:rPr>
                <w:rFonts w:ascii="Arial" w:hAnsi="Arial" w:cs="Arial"/>
                <w:sz w:val="24"/>
                <w:szCs w:val="24"/>
              </w:rPr>
            </w:pPr>
            <w:r>
              <w:rPr>
                <w:rFonts w:ascii="Arial" w:hAnsi="Arial" w:cs="Arial"/>
                <w:sz w:val="24"/>
                <w:szCs w:val="24"/>
              </w:rPr>
              <w:t xml:space="preserve">Local Policing </w:t>
            </w:r>
            <w:r w:rsidR="002B05F5">
              <w:rPr>
                <w:rFonts w:ascii="Arial" w:hAnsi="Arial" w:cs="Arial"/>
                <w:sz w:val="24"/>
                <w:szCs w:val="24"/>
              </w:rPr>
              <w:t>e.g.</w:t>
            </w:r>
            <w:r>
              <w:rPr>
                <w:rFonts w:ascii="Arial" w:hAnsi="Arial" w:cs="Arial"/>
                <w:sz w:val="24"/>
                <w:szCs w:val="24"/>
              </w:rPr>
              <w:t xml:space="preserve"> community liaison</w:t>
            </w:r>
          </w:p>
        </w:tc>
        <w:tc>
          <w:tcPr>
            <w:tcW w:w="2150" w:type="dxa"/>
          </w:tcPr>
          <w:p w14:paraId="2A8CED17" w14:textId="44ADD841" w:rsidR="004B5583" w:rsidRDefault="009C5B91">
            <w:pPr>
              <w:rPr>
                <w:rFonts w:ascii="Arial" w:hAnsi="Arial" w:cs="Arial"/>
                <w:sz w:val="24"/>
                <w:szCs w:val="24"/>
              </w:rPr>
            </w:pPr>
            <w:r>
              <w:rPr>
                <w:rFonts w:ascii="Arial" w:hAnsi="Arial" w:cs="Arial"/>
                <w:sz w:val="24"/>
                <w:szCs w:val="24"/>
              </w:rPr>
              <w:t>2</w:t>
            </w:r>
          </w:p>
        </w:tc>
      </w:tr>
      <w:tr w:rsidR="009C5B91" w14:paraId="4CB91C3F" w14:textId="77777777" w:rsidTr="004B5583">
        <w:tc>
          <w:tcPr>
            <w:tcW w:w="4371" w:type="dxa"/>
          </w:tcPr>
          <w:p w14:paraId="4F83C2B2" w14:textId="77777777" w:rsidR="009C5B91" w:rsidRDefault="009C5B91">
            <w:pPr>
              <w:rPr>
                <w:rFonts w:ascii="Arial" w:hAnsi="Arial" w:cs="Arial"/>
                <w:sz w:val="24"/>
                <w:szCs w:val="24"/>
              </w:rPr>
            </w:pPr>
          </w:p>
        </w:tc>
        <w:tc>
          <w:tcPr>
            <w:tcW w:w="2150" w:type="dxa"/>
          </w:tcPr>
          <w:p w14:paraId="0CD11902" w14:textId="77777777" w:rsidR="009C5B91" w:rsidRDefault="009C5B91">
            <w:pPr>
              <w:rPr>
                <w:rFonts w:ascii="Arial" w:hAnsi="Arial" w:cs="Arial"/>
                <w:sz w:val="24"/>
                <w:szCs w:val="24"/>
              </w:rPr>
            </w:pPr>
          </w:p>
        </w:tc>
      </w:tr>
      <w:tr w:rsidR="009C5B91" w14:paraId="0E3CB8C1" w14:textId="77777777" w:rsidTr="004B5583">
        <w:tc>
          <w:tcPr>
            <w:tcW w:w="4371" w:type="dxa"/>
          </w:tcPr>
          <w:p w14:paraId="747D7167" w14:textId="7396AB94" w:rsidR="009C5B91" w:rsidRDefault="009C5B91">
            <w:pPr>
              <w:rPr>
                <w:rFonts w:ascii="Arial" w:hAnsi="Arial" w:cs="Arial"/>
                <w:sz w:val="24"/>
                <w:szCs w:val="24"/>
              </w:rPr>
            </w:pPr>
            <w:r>
              <w:rPr>
                <w:rFonts w:ascii="Arial" w:hAnsi="Arial" w:cs="Arial"/>
                <w:sz w:val="24"/>
                <w:szCs w:val="24"/>
              </w:rPr>
              <w:t xml:space="preserve">Enabling services/PCC </w:t>
            </w:r>
          </w:p>
        </w:tc>
        <w:tc>
          <w:tcPr>
            <w:tcW w:w="2150" w:type="dxa"/>
          </w:tcPr>
          <w:p w14:paraId="0B74786E" w14:textId="1DF22643" w:rsidR="009C5B91" w:rsidRDefault="009C5B91">
            <w:pPr>
              <w:rPr>
                <w:rFonts w:ascii="Arial" w:hAnsi="Arial" w:cs="Arial"/>
                <w:sz w:val="24"/>
                <w:szCs w:val="24"/>
              </w:rPr>
            </w:pPr>
            <w:r>
              <w:rPr>
                <w:rFonts w:ascii="Arial" w:hAnsi="Arial" w:cs="Arial"/>
                <w:sz w:val="24"/>
                <w:szCs w:val="24"/>
              </w:rPr>
              <w:t>33</w:t>
            </w:r>
          </w:p>
        </w:tc>
      </w:tr>
      <w:tr w:rsidR="009C5B91" w14:paraId="3DE48042" w14:textId="77777777" w:rsidTr="004B5583">
        <w:tc>
          <w:tcPr>
            <w:tcW w:w="4371" w:type="dxa"/>
          </w:tcPr>
          <w:p w14:paraId="39311B8A" w14:textId="77777777" w:rsidR="009C5B91" w:rsidRDefault="009C5B91">
            <w:pPr>
              <w:rPr>
                <w:rFonts w:ascii="Arial" w:hAnsi="Arial" w:cs="Arial"/>
                <w:sz w:val="24"/>
                <w:szCs w:val="24"/>
              </w:rPr>
            </w:pPr>
          </w:p>
        </w:tc>
        <w:tc>
          <w:tcPr>
            <w:tcW w:w="2150" w:type="dxa"/>
          </w:tcPr>
          <w:p w14:paraId="2BFA56E6" w14:textId="77777777" w:rsidR="009C5B91" w:rsidRDefault="009C5B91">
            <w:pPr>
              <w:rPr>
                <w:rFonts w:ascii="Arial" w:hAnsi="Arial" w:cs="Arial"/>
                <w:sz w:val="24"/>
                <w:szCs w:val="24"/>
              </w:rPr>
            </w:pPr>
          </w:p>
        </w:tc>
      </w:tr>
    </w:tbl>
    <w:p w14:paraId="3A6C196F" w14:textId="77777777" w:rsidR="004B5583" w:rsidRDefault="004B5583">
      <w:pPr>
        <w:rPr>
          <w:rFonts w:ascii="Arial" w:hAnsi="Arial" w:cs="Arial"/>
          <w:sz w:val="24"/>
          <w:szCs w:val="24"/>
        </w:rPr>
      </w:pPr>
    </w:p>
    <w:p w14:paraId="79D5299E" w14:textId="4DEDB5CA" w:rsidR="009C5B91" w:rsidRPr="00BD5BE3" w:rsidRDefault="00BD5BE3">
      <w:pPr>
        <w:rPr>
          <w:rFonts w:ascii="Arial" w:hAnsi="Arial" w:cs="Arial"/>
          <w:sz w:val="24"/>
          <w:szCs w:val="24"/>
          <w:u w:val="single"/>
        </w:rPr>
      </w:pPr>
      <w:r w:rsidRPr="00BD5BE3">
        <w:rPr>
          <w:rFonts w:ascii="Arial" w:hAnsi="Arial" w:cs="Arial"/>
          <w:sz w:val="24"/>
          <w:szCs w:val="24"/>
          <w:u w:val="single"/>
        </w:rPr>
        <w:t xml:space="preserve">Key </w:t>
      </w:r>
      <w:r w:rsidR="009D6A7C">
        <w:rPr>
          <w:rFonts w:ascii="Arial" w:hAnsi="Arial" w:cs="Arial"/>
          <w:sz w:val="24"/>
          <w:szCs w:val="24"/>
          <w:u w:val="single"/>
        </w:rPr>
        <w:t xml:space="preserve">Service </w:t>
      </w:r>
      <w:r w:rsidRPr="00BD5BE3">
        <w:rPr>
          <w:rFonts w:ascii="Arial" w:hAnsi="Arial" w:cs="Arial"/>
          <w:sz w:val="24"/>
          <w:szCs w:val="24"/>
          <w:u w:val="single"/>
        </w:rPr>
        <w:t>Challenges</w:t>
      </w:r>
    </w:p>
    <w:p w14:paraId="421AE6D2" w14:textId="26CEB75D" w:rsidR="00BD5BE3" w:rsidRDefault="00BD5BE3">
      <w:pPr>
        <w:rPr>
          <w:rFonts w:ascii="Arial" w:hAnsi="Arial" w:cs="Arial"/>
          <w:sz w:val="24"/>
          <w:szCs w:val="24"/>
        </w:rPr>
      </w:pPr>
      <w:r>
        <w:rPr>
          <w:rFonts w:ascii="Arial" w:hAnsi="Arial" w:cs="Arial"/>
          <w:sz w:val="24"/>
          <w:szCs w:val="24"/>
        </w:rPr>
        <w:t>These include:</w:t>
      </w:r>
    </w:p>
    <w:p w14:paraId="08A927A2" w14:textId="4BE09859" w:rsidR="00BD5BE3" w:rsidRDefault="00BD5BE3" w:rsidP="00BD5BE3">
      <w:pPr>
        <w:pStyle w:val="ListParagraph"/>
        <w:numPr>
          <w:ilvl w:val="0"/>
          <w:numId w:val="1"/>
        </w:numPr>
        <w:rPr>
          <w:rFonts w:ascii="Arial" w:hAnsi="Arial" w:cs="Arial"/>
          <w:sz w:val="24"/>
          <w:szCs w:val="24"/>
        </w:rPr>
      </w:pPr>
      <w:r>
        <w:rPr>
          <w:rFonts w:ascii="Arial" w:hAnsi="Arial" w:cs="Arial"/>
          <w:sz w:val="24"/>
          <w:szCs w:val="24"/>
        </w:rPr>
        <w:t xml:space="preserve">General service </w:t>
      </w:r>
      <w:r w:rsidR="002B05F5">
        <w:rPr>
          <w:rFonts w:ascii="Arial" w:hAnsi="Arial" w:cs="Arial"/>
          <w:sz w:val="24"/>
          <w:szCs w:val="24"/>
        </w:rPr>
        <w:t>demands,</w:t>
      </w:r>
      <w:r>
        <w:rPr>
          <w:rFonts w:ascii="Arial" w:hAnsi="Arial" w:cs="Arial"/>
          <w:sz w:val="24"/>
          <w:szCs w:val="24"/>
        </w:rPr>
        <w:t xml:space="preserve"> which is driven by population growth, new laws, technology, </w:t>
      </w:r>
      <w:proofErr w:type="gramStart"/>
      <w:r>
        <w:rPr>
          <w:rFonts w:ascii="Arial" w:hAnsi="Arial" w:cs="Arial"/>
          <w:sz w:val="24"/>
          <w:szCs w:val="24"/>
        </w:rPr>
        <w:t>etc</w:t>
      </w:r>
      <w:proofErr w:type="gramEnd"/>
    </w:p>
    <w:p w14:paraId="357259F9" w14:textId="20326995" w:rsidR="00BD5BE3" w:rsidRDefault="00BD5BE3" w:rsidP="00BD5BE3">
      <w:pPr>
        <w:pStyle w:val="ListParagraph"/>
        <w:numPr>
          <w:ilvl w:val="0"/>
          <w:numId w:val="1"/>
        </w:numPr>
        <w:rPr>
          <w:rFonts w:ascii="Arial" w:hAnsi="Arial" w:cs="Arial"/>
          <w:sz w:val="24"/>
          <w:szCs w:val="24"/>
        </w:rPr>
      </w:pPr>
      <w:r>
        <w:rPr>
          <w:rFonts w:ascii="Arial" w:hAnsi="Arial" w:cs="Arial"/>
          <w:sz w:val="24"/>
          <w:szCs w:val="24"/>
        </w:rPr>
        <w:t xml:space="preserve">Future cost pressures arising from inflation, and general pay costs. In the next 4 years the service will need to find approx. £0.25bn to pay for the expected incremental growth from the </w:t>
      </w:r>
      <w:r w:rsidR="002B05F5">
        <w:rPr>
          <w:rFonts w:ascii="Arial" w:hAnsi="Arial" w:cs="Arial"/>
          <w:sz w:val="24"/>
          <w:szCs w:val="24"/>
        </w:rPr>
        <w:t>20,000-officer</w:t>
      </w:r>
      <w:r>
        <w:rPr>
          <w:rFonts w:ascii="Arial" w:hAnsi="Arial" w:cs="Arial"/>
          <w:sz w:val="24"/>
          <w:szCs w:val="24"/>
        </w:rPr>
        <w:t xml:space="preserve"> uplift programme.</w:t>
      </w:r>
    </w:p>
    <w:p w14:paraId="5D3927E9" w14:textId="3D5AE3A7" w:rsidR="00BD5BE3" w:rsidRDefault="00BD5BE3" w:rsidP="00BD5BE3">
      <w:pPr>
        <w:pStyle w:val="ListParagraph"/>
        <w:numPr>
          <w:ilvl w:val="0"/>
          <w:numId w:val="1"/>
        </w:numPr>
        <w:rPr>
          <w:rFonts w:ascii="Arial" w:hAnsi="Arial" w:cs="Arial"/>
          <w:sz w:val="24"/>
          <w:szCs w:val="24"/>
        </w:rPr>
      </w:pPr>
      <w:r>
        <w:rPr>
          <w:rFonts w:ascii="Arial" w:hAnsi="Arial" w:cs="Arial"/>
          <w:sz w:val="24"/>
          <w:szCs w:val="24"/>
        </w:rPr>
        <w:t xml:space="preserve">Debt levels are increasing due to the need for regular investment in technology, </w:t>
      </w:r>
      <w:r w:rsidR="002B05F5">
        <w:rPr>
          <w:rFonts w:ascii="Arial" w:hAnsi="Arial" w:cs="Arial"/>
          <w:sz w:val="24"/>
          <w:szCs w:val="24"/>
        </w:rPr>
        <w:t>fleet,</w:t>
      </w:r>
      <w:r>
        <w:rPr>
          <w:rFonts w:ascii="Arial" w:hAnsi="Arial" w:cs="Arial"/>
          <w:sz w:val="24"/>
          <w:szCs w:val="24"/>
        </w:rPr>
        <w:t xml:space="preserve"> and estates. Failure to invest leads to reduced service efficiency and rising costs.</w:t>
      </w:r>
    </w:p>
    <w:p w14:paraId="16E88EBC" w14:textId="2BD2B672" w:rsidR="00BD5BE3" w:rsidRDefault="00BD5BE3" w:rsidP="00BD5BE3">
      <w:pPr>
        <w:pStyle w:val="ListParagraph"/>
        <w:numPr>
          <w:ilvl w:val="0"/>
          <w:numId w:val="1"/>
        </w:numPr>
        <w:rPr>
          <w:rFonts w:ascii="Arial" w:hAnsi="Arial" w:cs="Arial"/>
          <w:sz w:val="24"/>
          <w:szCs w:val="24"/>
        </w:rPr>
      </w:pPr>
      <w:r>
        <w:rPr>
          <w:rFonts w:ascii="Arial" w:hAnsi="Arial" w:cs="Arial"/>
          <w:sz w:val="24"/>
          <w:szCs w:val="24"/>
        </w:rPr>
        <w:t>A lack of funding to progress the sustainability agenda.</w:t>
      </w:r>
    </w:p>
    <w:p w14:paraId="259072B5" w14:textId="0BBB1E4A" w:rsidR="00BD5BE3" w:rsidRDefault="00BD5BE3" w:rsidP="00BD5BE3">
      <w:pPr>
        <w:pStyle w:val="ListParagraph"/>
        <w:numPr>
          <w:ilvl w:val="0"/>
          <w:numId w:val="1"/>
        </w:numPr>
        <w:rPr>
          <w:rFonts w:ascii="Arial" w:hAnsi="Arial" w:cs="Arial"/>
          <w:sz w:val="24"/>
          <w:szCs w:val="24"/>
        </w:rPr>
      </w:pPr>
      <w:r>
        <w:rPr>
          <w:rFonts w:ascii="Arial" w:hAnsi="Arial" w:cs="Arial"/>
          <w:sz w:val="24"/>
          <w:szCs w:val="24"/>
        </w:rPr>
        <w:t>Falling reserves, which are being used to support ongoing service delivery.</w:t>
      </w:r>
    </w:p>
    <w:p w14:paraId="1BF97583" w14:textId="6C04D694" w:rsidR="00634BF5" w:rsidRDefault="00634BF5" w:rsidP="00BD5BE3">
      <w:pPr>
        <w:pStyle w:val="ListParagraph"/>
        <w:numPr>
          <w:ilvl w:val="0"/>
          <w:numId w:val="1"/>
        </w:numPr>
        <w:rPr>
          <w:rFonts w:ascii="Arial" w:hAnsi="Arial" w:cs="Arial"/>
          <w:sz w:val="24"/>
          <w:szCs w:val="24"/>
        </w:rPr>
      </w:pPr>
      <w:r>
        <w:rPr>
          <w:rFonts w:ascii="Arial" w:hAnsi="Arial" w:cs="Arial"/>
          <w:sz w:val="24"/>
          <w:szCs w:val="24"/>
        </w:rPr>
        <w:t>The need to improve efficiency and productivity where possible through process review and use of technology</w:t>
      </w:r>
      <w:r w:rsidR="009D6A7C">
        <w:rPr>
          <w:rFonts w:ascii="Arial" w:hAnsi="Arial" w:cs="Arial"/>
          <w:sz w:val="24"/>
          <w:szCs w:val="24"/>
        </w:rPr>
        <w:t xml:space="preserve">, and shared learning </w:t>
      </w:r>
      <w:r w:rsidR="002B05F5">
        <w:rPr>
          <w:rFonts w:ascii="Arial" w:hAnsi="Arial" w:cs="Arial"/>
          <w:sz w:val="24"/>
          <w:szCs w:val="24"/>
        </w:rPr>
        <w:t>(e.g.</w:t>
      </w:r>
      <w:r w:rsidR="009D6A7C">
        <w:rPr>
          <w:rFonts w:ascii="Arial" w:hAnsi="Arial" w:cs="Arial"/>
          <w:sz w:val="24"/>
          <w:szCs w:val="24"/>
        </w:rPr>
        <w:t xml:space="preserve"> from the Police Productivity Review)</w:t>
      </w:r>
      <w:r>
        <w:rPr>
          <w:rFonts w:ascii="Arial" w:hAnsi="Arial" w:cs="Arial"/>
          <w:sz w:val="24"/>
          <w:szCs w:val="24"/>
        </w:rPr>
        <w:t xml:space="preserve">. There exists a degree of scope to improve </w:t>
      </w:r>
      <w:r w:rsidR="002B05F5">
        <w:rPr>
          <w:rFonts w:ascii="Arial" w:hAnsi="Arial" w:cs="Arial"/>
          <w:sz w:val="24"/>
          <w:szCs w:val="24"/>
        </w:rPr>
        <w:t>efficiency,</w:t>
      </w:r>
      <w:r>
        <w:rPr>
          <w:rFonts w:ascii="Arial" w:hAnsi="Arial" w:cs="Arial"/>
          <w:sz w:val="24"/>
          <w:szCs w:val="24"/>
        </w:rPr>
        <w:t xml:space="preserve"> but this will take time to maximise. Po</w:t>
      </w:r>
      <w:r w:rsidR="009D6A7C">
        <w:rPr>
          <w:rFonts w:ascii="Arial" w:hAnsi="Arial" w:cs="Arial"/>
          <w:sz w:val="24"/>
          <w:szCs w:val="24"/>
        </w:rPr>
        <w:t>tential</w:t>
      </w:r>
      <w:r>
        <w:rPr>
          <w:rFonts w:ascii="Arial" w:hAnsi="Arial" w:cs="Arial"/>
          <w:sz w:val="24"/>
          <w:szCs w:val="24"/>
        </w:rPr>
        <w:t xml:space="preserve"> areas include:</w:t>
      </w:r>
    </w:p>
    <w:p w14:paraId="168FDA75" w14:textId="43DFBD5D" w:rsidR="00634BF5" w:rsidRDefault="00634BF5" w:rsidP="00634BF5">
      <w:pPr>
        <w:pStyle w:val="ListParagraph"/>
        <w:numPr>
          <w:ilvl w:val="1"/>
          <w:numId w:val="1"/>
        </w:numPr>
        <w:rPr>
          <w:rFonts w:ascii="Arial" w:hAnsi="Arial" w:cs="Arial"/>
          <w:sz w:val="24"/>
          <w:szCs w:val="24"/>
        </w:rPr>
      </w:pPr>
      <w:r>
        <w:rPr>
          <w:rFonts w:ascii="Arial" w:hAnsi="Arial" w:cs="Arial"/>
          <w:sz w:val="24"/>
          <w:szCs w:val="24"/>
        </w:rPr>
        <w:t xml:space="preserve">Third party spend </w:t>
      </w:r>
      <w:r w:rsidR="00662E67">
        <w:rPr>
          <w:rFonts w:ascii="Arial" w:hAnsi="Arial" w:cs="Arial"/>
          <w:sz w:val="24"/>
          <w:szCs w:val="24"/>
        </w:rPr>
        <w:t>e.g.</w:t>
      </w:r>
      <w:r>
        <w:rPr>
          <w:rFonts w:ascii="Arial" w:hAnsi="Arial" w:cs="Arial"/>
          <w:sz w:val="24"/>
          <w:szCs w:val="24"/>
        </w:rPr>
        <w:t xml:space="preserve"> reductions in the cost of ICT, fleet, estates, commissioned services etc. </w:t>
      </w:r>
    </w:p>
    <w:p w14:paraId="4D11613B" w14:textId="5D0926AA" w:rsidR="00634BF5" w:rsidRDefault="00634BF5" w:rsidP="00634BF5">
      <w:pPr>
        <w:pStyle w:val="ListParagraph"/>
        <w:numPr>
          <w:ilvl w:val="1"/>
          <w:numId w:val="1"/>
        </w:numPr>
        <w:rPr>
          <w:rFonts w:ascii="Arial" w:hAnsi="Arial" w:cs="Arial"/>
          <w:sz w:val="24"/>
          <w:szCs w:val="24"/>
        </w:rPr>
      </w:pPr>
      <w:r>
        <w:rPr>
          <w:rFonts w:ascii="Arial" w:hAnsi="Arial" w:cs="Arial"/>
          <w:sz w:val="24"/>
          <w:szCs w:val="24"/>
        </w:rPr>
        <w:t xml:space="preserve">Improved allocative efficiency of the </w:t>
      </w:r>
      <w:r w:rsidR="002B05F5">
        <w:rPr>
          <w:rFonts w:ascii="Arial" w:hAnsi="Arial" w:cs="Arial"/>
          <w:sz w:val="24"/>
          <w:szCs w:val="24"/>
        </w:rPr>
        <w:t>workforce.</w:t>
      </w:r>
    </w:p>
    <w:p w14:paraId="34B3C008" w14:textId="1D26981B" w:rsidR="00634BF5" w:rsidRDefault="00634BF5" w:rsidP="00634BF5">
      <w:pPr>
        <w:pStyle w:val="ListParagraph"/>
        <w:numPr>
          <w:ilvl w:val="1"/>
          <w:numId w:val="1"/>
        </w:numPr>
        <w:rPr>
          <w:rFonts w:ascii="Arial" w:hAnsi="Arial" w:cs="Arial"/>
          <w:sz w:val="24"/>
          <w:szCs w:val="24"/>
        </w:rPr>
      </w:pPr>
      <w:r>
        <w:rPr>
          <w:rFonts w:ascii="Arial" w:hAnsi="Arial" w:cs="Arial"/>
          <w:sz w:val="24"/>
          <w:szCs w:val="24"/>
        </w:rPr>
        <w:t>Income generation in relation to service delivery</w:t>
      </w:r>
    </w:p>
    <w:p w14:paraId="0C9D4120" w14:textId="67CD3D93" w:rsidR="00DD1311" w:rsidRDefault="00DD1311" w:rsidP="00DD1311">
      <w:pPr>
        <w:pStyle w:val="ListParagraph"/>
        <w:numPr>
          <w:ilvl w:val="0"/>
          <w:numId w:val="1"/>
        </w:numPr>
        <w:rPr>
          <w:rFonts w:ascii="Arial" w:hAnsi="Arial" w:cs="Arial"/>
          <w:sz w:val="24"/>
          <w:szCs w:val="24"/>
        </w:rPr>
      </w:pPr>
      <w:r>
        <w:rPr>
          <w:rFonts w:ascii="Arial" w:hAnsi="Arial" w:cs="Arial"/>
          <w:sz w:val="24"/>
          <w:szCs w:val="24"/>
        </w:rPr>
        <w:t>Overall, the combined effect of inflation, rising debt levels and falling reserves is placing a significant strain on police finances.</w:t>
      </w:r>
    </w:p>
    <w:p w14:paraId="1573F29C" w14:textId="77777777" w:rsidR="00AB2C7F" w:rsidRDefault="00AB2C7F" w:rsidP="00AB2C7F">
      <w:pPr>
        <w:rPr>
          <w:rFonts w:ascii="Arial" w:hAnsi="Arial" w:cs="Arial"/>
          <w:sz w:val="24"/>
          <w:szCs w:val="24"/>
        </w:rPr>
      </w:pPr>
    </w:p>
    <w:p w14:paraId="2BA19587" w14:textId="738C8B45" w:rsidR="00AB2C7F" w:rsidRDefault="00AB2C7F" w:rsidP="00AB2C7F">
      <w:pPr>
        <w:rPr>
          <w:rFonts w:ascii="Arial" w:hAnsi="Arial" w:cs="Arial"/>
          <w:sz w:val="24"/>
          <w:szCs w:val="24"/>
          <w:u w:val="single"/>
        </w:rPr>
      </w:pPr>
      <w:r w:rsidRPr="00AB2C7F">
        <w:rPr>
          <w:rFonts w:ascii="Arial" w:hAnsi="Arial" w:cs="Arial"/>
          <w:sz w:val="24"/>
          <w:szCs w:val="24"/>
          <w:u w:val="single"/>
        </w:rPr>
        <w:t xml:space="preserve">Investment needs </w:t>
      </w:r>
    </w:p>
    <w:p w14:paraId="1B821AA9" w14:textId="68FE8066" w:rsidR="00AB2C7F" w:rsidRDefault="00AB2C7F" w:rsidP="00AB2C7F">
      <w:pPr>
        <w:rPr>
          <w:rFonts w:ascii="Arial" w:hAnsi="Arial" w:cs="Arial"/>
          <w:sz w:val="24"/>
          <w:szCs w:val="24"/>
        </w:rPr>
      </w:pPr>
      <w:r w:rsidRPr="00AB2C7F">
        <w:rPr>
          <w:rFonts w:ascii="Arial" w:hAnsi="Arial" w:cs="Arial"/>
          <w:sz w:val="24"/>
          <w:szCs w:val="24"/>
        </w:rPr>
        <w:t xml:space="preserve">These </w:t>
      </w:r>
      <w:r w:rsidR="00662E67" w:rsidRPr="00AB2C7F">
        <w:rPr>
          <w:rFonts w:ascii="Arial" w:hAnsi="Arial" w:cs="Arial"/>
          <w:sz w:val="24"/>
          <w:szCs w:val="24"/>
        </w:rPr>
        <w:t>include:</w:t>
      </w:r>
    </w:p>
    <w:p w14:paraId="7B78D84B" w14:textId="07BB4712" w:rsidR="00AB2C7F" w:rsidRDefault="00AB2C7F" w:rsidP="00AB2C7F">
      <w:pPr>
        <w:pStyle w:val="ListParagraph"/>
        <w:numPr>
          <w:ilvl w:val="0"/>
          <w:numId w:val="2"/>
        </w:numPr>
        <w:rPr>
          <w:rFonts w:ascii="Arial" w:hAnsi="Arial" w:cs="Arial"/>
          <w:sz w:val="24"/>
          <w:szCs w:val="24"/>
        </w:rPr>
      </w:pPr>
      <w:r>
        <w:rPr>
          <w:rFonts w:ascii="Arial" w:hAnsi="Arial" w:cs="Arial"/>
          <w:sz w:val="24"/>
          <w:szCs w:val="24"/>
        </w:rPr>
        <w:t xml:space="preserve">The need for pay reform to ensure the service attracts the </w:t>
      </w:r>
      <w:r w:rsidR="00662E67">
        <w:rPr>
          <w:rFonts w:ascii="Arial" w:hAnsi="Arial" w:cs="Arial"/>
          <w:sz w:val="24"/>
          <w:szCs w:val="24"/>
        </w:rPr>
        <w:t>best.</w:t>
      </w:r>
    </w:p>
    <w:p w14:paraId="65A2131F" w14:textId="7B0858CA" w:rsidR="00AB2C7F" w:rsidRDefault="00AB2C7F" w:rsidP="00AB2C7F">
      <w:pPr>
        <w:pStyle w:val="ListParagraph"/>
        <w:numPr>
          <w:ilvl w:val="0"/>
          <w:numId w:val="2"/>
        </w:numPr>
        <w:rPr>
          <w:rFonts w:ascii="Arial" w:hAnsi="Arial" w:cs="Arial"/>
          <w:sz w:val="24"/>
          <w:szCs w:val="24"/>
        </w:rPr>
      </w:pPr>
      <w:r>
        <w:rPr>
          <w:rFonts w:ascii="Arial" w:hAnsi="Arial" w:cs="Arial"/>
          <w:sz w:val="24"/>
          <w:szCs w:val="24"/>
        </w:rPr>
        <w:t>Investment in control rooms to ensure the service provides a consistent and good level of service.</w:t>
      </w:r>
    </w:p>
    <w:p w14:paraId="2DD15C22" w14:textId="56C9FABA" w:rsidR="00AB2C7F" w:rsidRDefault="00662E67" w:rsidP="00AB2C7F">
      <w:pPr>
        <w:pStyle w:val="ListParagraph"/>
        <w:numPr>
          <w:ilvl w:val="0"/>
          <w:numId w:val="2"/>
        </w:numPr>
        <w:rPr>
          <w:rFonts w:ascii="Arial" w:hAnsi="Arial" w:cs="Arial"/>
          <w:sz w:val="24"/>
          <w:szCs w:val="24"/>
        </w:rPr>
      </w:pPr>
      <w:r>
        <w:rPr>
          <w:rFonts w:ascii="Arial" w:hAnsi="Arial" w:cs="Arial"/>
          <w:sz w:val="24"/>
          <w:szCs w:val="24"/>
        </w:rPr>
        <w:t>T</w:t>
      </w:r>
      <w:r w:rsidR="00AB2C7F">
        <w:rPr>
          <w:rFonts w:ascii="Arial" w:hAnsi="Arial" w:cs="Arial"/>
          <w:sz w:val="24"/>
          <w:szCs w:val="24"/>
        </w:rPr>
        <w:t>he need to increase and upskill the number of detectives across the service</w:t>
      </w:r>
      <w:r>
        <w:rPr>
          <w:rFonts w:ascii="Arial" w:hAnsi="Arial" w:cs="Arial"/>
          <w:sz w:val="24"/>
          <w:szCs w:val="24"/>
        </w:rPr>
        <w:t>.</w:t>
      </w:r>
    </w:p>
    <w:p w14:paraId="471B7A92" w14:textId="1183EEDE" w:rsidR="00AB2C7F" w:rsidRDefault="00AB2C7F" w:rsidP="00AB2C7F">
      <w:pPr>
        <w:pStyle w:val="ListParagraph"/>
        <w:numPr>
          <w:ilvl w:val="0"/>
          <w:numId w:val="2"/>
        </w:numPr>
        <w:rPr>
          <w:rFonts w:ascii="Arial" w:hAnsi="Arial" w:cs="Arial"/>
          <w:sz w:val="24"/>
          <w:szCs w:val="24"/>
        </w:rPr>
      </w:pPr>
      <w:r w:rsidRPr="00162EA5">
        <w:rPr>
          <w:rFonts w:ascii="Arial" w:hAnsi="Arial" w:cs="Arial"/>
          <w:sz w:val="24"/>
          <w:szCs w:val="24"/>
        </w:rPr>
        <w:t xml:space="preserve">capital investment to ensure ongoing and improved efficiency and </w:t>
      </w:r>
      <w:r w:rsidR="00662E67" w:rsidRPr="00162EA5">
        <w:rPr>
          <w:rFonts w:ascii="Arial" w:hAnsi="Arial" w:cs="Arial"/>
          <w:sz w:val="24"/>
          <w:szCs w:val="24"/>
        </w:rPr>
        <w:t>effectiveness.</w:t>
      </w:r>
    </w:p>
    <w:p w14:paraId="3F34DD30" w14:textId="6191DE7B" w:rsidR="00162EA5" w:rsidRDefault="00662E67" w:rsidP="00AB2C7F">
      <w:pPr>
        <w:pStyle w:val="ListParagraph"/>
        <w:numPr>
          <w:ilvl w:val="0"/>
          <w:numId w:val="2"/>
        </w:numPr>
        <w:rPr>
          <w:rFonts w:ascii="Arial" w:hAnsi="Arial" w:cs="Arial"/>
          <w:sz w:val="24"/>
          <w:szCs w:val="24"/>
        </w:rPr>
      </w:pPr>
      <w:r>
        <w:rPr>
          <w:rFonts w:ascii="Arial" w:hAnsi="Arial" w:cs="Arial"/>
          <w:sz w:val="24"/>
          <w:szCs w:val="24"/>
        </w:rPr>
        <w:lastRenderedPageBreak/>
        <w:t>C</w:t>
      </w:r>
      <w:r w:rsidR="00162EA5">
        <w:rPr>
          <w:rFonts w:ascii="Arial" w:hAnsi="Arial" w:cs="Arial"/>
          <w:sz w:val="24"/>
          <w:szCs w:val="24"/>
        </w:rPr>
        <w:t>apital investment to progress the sustainability agenda</w:t>
      </w:r>
      <w:r>
        <w:rPr>
          <w:rFonts w:ascii="Arial" w:hAnsi="Arial" w:cs="Arial"/>
          <w:sz w:val="24"/>
          <w:szCs w:val="24"/>
        </w:rPr>
        <w:t>.</w:t>
      </w:r>
    </w:p>
    <w:p w14:paraId="473A7B3E" w14:textId="77777777" w:rsidR="00162EA5" w:rsidRPr="00162EA5" w:rsidRDefault="00162EA5" w:rsidP="00162EA5">
      <w:pPr>
        <w:pStyle w:val="ListParagraph"/>
        <w:rPr>
          <w:rFonts w:ascii="Arial" w:hAnsi="Arial" w:cs="Arial"/>
          <w:sz w:val="24"/>
          <w:szCs w:val="24"/>
        </w:rPr>
      </w:pPr>
    </w:p>
    <w:p w14:paraId="22074027" w14:textId="77777777" w:rsidR="008F6B3E" w:rsidRDefault="00FE3054" w:rsidP="00AB2C7F">
      <w:pPr>
        <w:rPr>
          <w:rFonts w:ascii="Arial" w:hAnsi="Arial" w:cs="Arial"/>
          <w:sz w:val="24"/>
          <w:szCs w:val="24"/>
        </w:rPr>
      </w:pPr>
      <w:r>
        <w:rPr>
          <w:rFonts w:ascii="Arial" w:hAnsi="Arial" w:cs="Arial"/>
          <w:sz w:val="24"/>
          <w:szCs w:val="24"/>
        </w:rPr>
        <w:t>NPCC Finance Committee</w:t>
      </w:r>
    </w:p>
    <w:p w14:paraId="14264A52" w14:textId="348D0BB7" w:rsidR="00FE3054" w:rsidRPr="00AB2C7F" w:rsidRDefault="00FE3054" w:rsidP="00AB2C7F">
      <w:pPr>
        <w:rPr>
          <w:rFonts w:ascii="Arial" w:hAnsi="Arial" w:cs="Arial"/>
          <w:sz w:val="24"/>
          <w:szCs w:val="24"/>
        </w:rPr>
      </w:pPr>
      <w:r>
        <w:rPr>
          <w:rFonts w:ascii="Arial" w:hAnsi="Arial" w:cs="Arial"/>
          <w:sz w:val="24"/>
          <w:szCs w:val="24"/>
        </w:rPr>
        <w:t>March 2024</w:t>
      </w:r>
    </w:p>
    <w:p w14:paraId="4BFC202B" w14:textId="77777777" w:rsidR="00AB2C7F" w:rsidRPr="00AB2C7F" w:rsidRDefault="00AB2C7F" w:rsidP="00AB2C7F">
      <w:pPr>
        <w:rPr>
          <w:rFonts w:ascii="Arial" w:hAnsi="Arial" w:cs="Arial"/>
          <w:sz w:val="24"/>
          <w:szCs w:val="24"/>
          <w:u w:val="single"/>
        </w:rPr>
      </w:pPr>
    </w:p>
    <w:sectPr w:rsidR="00AB2C7F" w:rsidRPr="00AB2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E6F"/>
    <w:multiLevelType w:val="hybridMultilevel"/>
    <w:tmpl w:val="F5F0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969E7"/>
    <w:multiLevelType w:val="hybridMultilevel"/>
    <w:tmpl w:val="12EAF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875345">
    <w:abstractNumId w:val="1"/>
  </w:num>
  <w:num w:numId="2" w16cid:durableId="180014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DB"/>
    <w:rsid w:val="00140CBB"/>
    <w:rsid w:val="00162EA5"/>
    <w:rsid w:val="002B05F5"/>
    <w:rsid w:val="002B5ECF"/>
    <w:rsid w:val="003C0010"/>
    <w:rsid w:val="00477ADB"/>
    <w:rsid w:val="004B5583"/>
    <w:rsid w:val="005A3523"/>
    <w:rsid w:val="00634BF5"/>
    <w:rsid w:val="00662E67"/>
    <w:rsid w:val="00783EBD"/>
    <w:rsid w:val="00815FA9"/>
    <w:rsid w:val="008B4C08"/>
    <w:rsid w:val="008F6B3E"/>
    <w:rsid w:val="00984A7C"/>
    <w:rsid w:val="009C5B91"/>
    <w:rsid w:val="009D6A7C"/>
    <w:rsid w:val="00AB2C7F"/>
    <w:rsid w:val="00B3624F"/>
    <w:rsid w:val="00BA4EF2"/>
    <w:rsid w:val="00BD02E7"/>
    <w:rsid w:val="00BD5BE3"/>
    <w:rsid w:val="00CD5924"/>
    <w:rsid w:val="00CF347C"/>
    <w:rsid w:val="00DD1311"/>
    <w:rsid w:val="00F006E5"/>
    <w:rsid w:val="00F97C79"/>
    <w:rsid w:val="00FE3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30F0"/>
  <w15:chartTrackingRefBased/>
  <w15:docId w15:val="{41708306-12F4-4F25-8479-95828672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206036745406826E-2"/>
          <c:y val="6.4754392624437551E-2"/>
          <c:w val="0.8762384076990376"/>
          <c:h val="0.85337595994936366"/>
        </c:manualLayout>
      </c:layout>
      <c:barChart>
        <c:barDir val="col"/>
        <c:grouping val="clustered"/>
        <c:varyColors val="0"/>
        <c:ser>
          <c:idx val="0"/>
          <c:order val="0"/>
          <c:tx>
            <c:strRef>
              <c:f>Sheet1!$B$52</c:f>
              <c:strCache>
                <c:ptCount val="1"/>
                <c:pt idx="0">
                  <c:v>precept</c:v>
                </c:pt>
              </c:strCache>
            </c:strRef>
          </c:tx>
          <c:spPr>
            <a:solidFill>
              <a:schemeClr val="accent1"/>
            </a:solidFill>
            <a:ln>
              <a:noFill/>
            </a:ln>
            <a:effectLst/>
          </c:spPr>
          <c:invertIfNegative val="0"/>
          <c:cat>
            <c:strRef>
              <c:f>Sheet1!$A$53:$A$66</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Sheet1!$B$53:$B$66</c:f>
            </c:numRef>
          </c:val>
          <c:extLst>
            <c:ext xmlns:c16="http://schemas.microsoft.com/office/drawing/2014/chart" uri="{C3380CC4-5D6E-409C-BE32-E72D297353CC}">
              <c16:uniqueId val="{00000000-1D8D-4C6F-86A4-4BB6679B0A97}"/>
            </c:ext>
          </c:extLst>
        </c:ser>
        <c:ser>
          <c:idx val="1"/>
          <c:order val="1"/>
          <c:tx>
            <c:strRef>
              <c:f>Sheet1!$C$52</c:f>
              <c:strCache>
                <c:ptCount val="1"/>
              </c:strCache>
            </c:strRef>
          </c:tx>
          <c:spPr>
            <a:solidFill>
              <a:schemeClr val="accent2"/>
            </a:solidFill>
            <a:ln>
              <a:noFill/>
            </a:ln>
            <a:effectLst/>
          </c:spPr>
          <c:invertIfNegative val="0"/>
          <c:cat>
            <c:strRef>
              <c:f>Sheet1!$A$53:$A$66</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Sheet1!$C$53:$C$66</c:f>
            </c:numRef>
          </c:val>
          <c:extLst>
            <c:ext xmlns:c16="http://schemas.microsoft.com/office/drawing/2014/chart" uri="{C3380CC4-5D6E-409C-BE32-E72D297353CC}">
              <c16:uniqueId val="{00000001-1D8D-4C6F-86A4-4BB6679B0A97}"/>
            </c:ext>
          </c:extLst>
        </c:ser>
        <c:ser>
          <c:idx val="2"/>
          <c:order val="2"/>
          <c:tx>
            <c:strRef>
              <c:f>Sheet1!$D$52</c:f>
              <c:strCache>
                <c:ptCount val="1"/>
                <c:pt idx="0">
                  <c:v>grant</c:v>
                </c:pt>
              </c:strCache>
            </c:strRef>
          </c:tx>
          <c:spPr>
            <a:solidFill>
              <a:schemeClr val="accent3"/>
            </a:solidFill>
            <a:ln>
              <a:noFill/>
            </a:ln>
            <a:effectLst/>
          </c:spPr>
          <c:invertIfNegative val="0"/>
          <c:cat>
            <c:strRef>
              <c:f>Sheet1!$A$53:$A$66</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Sheet1!$D$53:$D$66</c:f>
            </c:numRef>
          </c:val>
          <c:extLst>
            <c:ext xmlns:c16="http://schemas.microsoft.com/office/drawing/2014/chart" uri="{C3380CC4-5D6E-409C-BE32-E72D297353CC}">
              <c16:uniqueId val="{00000002-1D8D-4C6F-86A4-4BB6679B0A97}"/>
            </c:ext>
          </c:extLst>
        </c:ser>
        <c:ser>
          <c:idx val="3"/>
          <c:order val="3"/>
          <c:tx>
            <c:strRef>
              <c:f>Sheet1!$E$52</c:f>
              <c:strCache>
                <c:ptCount val="1"/>
                <c:pt idx="0">
                  <c:v>total</c:v>
                </c:pt>
              </c:strCache>
            </c:strRef>
          </c:tx>
          <c:spPr>
            <a:solidFill>
              <a:schemeClr val="accent4"/>
            </a:solidFill>
            <a:ln>
              <a:noFill/>
            </a:ln>
            <a:effectLst/>
          </c:spPr>
          <c:invertIfNegative val="0"/>
          <c:cat>
            <c:strRef>
              <c:f>Sheet1!$A$53:$A$66</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Sheet1!$E$53:$E$66</c:f>
            </c:numRef>
          </c:val>
          <c:extLst>
            <c:ext xmlns:c16="http://schemas.microsoft.com/office/drawing/2014/chart" uri="{C3380CC4-5D6E-409C-BE32-E72D297353CC}">
              <c16:uniqueId val="{00000003-1D8D-4C6F-86A4-4BB6679B0A97}"/>
            </c:ext>
          </c:extLst>
        </c:ser>
        <c:ser>
          <c:idx val="4"/>
          <c:order val="4"/>
          <c:tx>
            <c:strRef>
              <c:f>Sheet1!$F$52</c:f>
              <c:strCache>
                <c:ptCount val="1"/>
              </c:strCache>
            </c:strRef>
          </c:tx>
          <c:spPr>
            <a:solidFill>
              <a:schemeClr val="accent5"/>
            </a:solidFill>
            <a:ln>
              <a:noFill/>
            </a:ln>
            <a:effectLst/>
          </c:spPr>
          <c:invertIfNegative val="0"/>
          <c:cat>
            <c:strRef>
              <c:f>Sheet1!$A$53:$A$66</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Sheet1!$F$53:$F$66</c:f>
            </c:numRef>
          </c:val>
          <c:extLst>
            <c:ext xmlns:c16="http://schemas.microsoft.com/office/drawing/2014/chart" uri="{C3380CC4-5D6E-409C-BE32-E72D297353CC}">
              <c16:uniqueId val="{00000004-1D8D-4C6F-86A4-4BB6679B0A97}"/>
            </c:ext>
          </c:extLst>
        </c:ser>
        <c:ser>
          <c:idx val="5"/>
          <c:order val="5"/>
          <c:tx>
            <c:strRef>
              <c:f>Sheet1!$G$52</c:f>
              <c:strCache>
                <c:ptCount val="1"/>
                <c:pt idx="0">
                  <c:v>nre</c:v>
                </c:pt>
              </c:strCache>
            </c:strRef>
          </c:tx>
          <c:spPr>
            <a:solidFill>
              <a:schemeClr val="accent6"/>
            </a:solidFill>
            <a:ln>
              <a:noFill/>
            </a:ln>
            <a:effectLst/>
          </c:spPr>
          <c:invertIfNegative val="0"/>
          <c:cat>
            <c:strRef>
              <c:f>Sheet1!$A$53:$A$66</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Sheet1!$G$53:$G$66</c:f>
              <c:numCache>
                <c:formatCode>0%</c:formatCode>
                <c:ptCount val="14"/>
                <c:pt idx="0" formatCode="General">
                  <c:v>0</c:v>
                </c:pt>
                <c:pt idx="1">
                  <c:v>-3.4538683515035438E-2</c:v>
                </c:pt>
                <c:pt idx="2">
                  <c:v>-4.1531651416400736E-2</c:v>
                </c:pt>
                <c:pt idx="3">
                  <c:v>-9.7890252204724097E-4</c:v>
                </c:pt>
                <c:pt idx="4">
                  <c:v>-2.5188548195094786E-2</c:v>
                </c:pt>
                <c:pt idx="5">
                  <c:v>-4.0804283351983259E-2</c:v>
                </c:pt>
                <c:pt idx="6">
                  <c:v>6.5194507385326599E-3</c:v>
                </c:pt>
                <c:pt idx="7">
                  <c:v>4.0070864753949239E-3</c:v>
                </c:pt>
                <c:pt idx="8">
                  <c:v>2.5610035631686016E-2</c:v>
                </c:pt>
                <c:pt idx="9">
                  <c:v>7.2127854872211392E-2</c:v>
                </c:pt>
                <c:pt idx="10">
                  <c:v>6.8698834289827829E-2</c:v>
                </c:pt>
                <c:pt idx="11">
                  <c:v>6.3513708049834611E-2</c:v>
                </c:pt>
                <c:pt idx="12">
                  <c:v>5.8288739153941053E-2</c:v>
                </c:pt>
                <c:pt idx="13">
                  <c:v>6.0480934386808655E-2</c:v>
                </c:pt>
              </c:numCache>
            </c:numRef>
          </c:val>
          <c:extLst>
            <c:ext xmlns:c16="http://schemas.microsoft.com/office/drawing/2014/chart" uri="{C3380CC4-5D6E-409C-BE32-E72D297353CC}">
              <c16:uniqueId val="{00000005-1D8D-4C6F-86A4-4BB6679B0A97}"/>
            </c:ext>
          </c:extLst>
        </c:ser>
        <c:ser>
          <c:idx val="6"/>
          <c:order val="6"/>
          <c:tx>
            <c:strRef>
              <c:f>Sheet1!$H$52</c:f>
              <c:strCache>
                <c:ptCount val="1"/>
                <c:pt idx="0">
                  <c:v>cpi</c:v>
                </c:pt>
              </c:strCache>
            </c:strRef>
          </c:tx>
          <c:spPr>
            <a:solidFill>
              <a:schemeClr val="accent1">
                <a:lumMod val="60000"/>
              </a:schemeClr>
            </a:solidFill>
            <a:ln>
              <a:noFill/>
            </a:ln>
            <a:effectLst/>
          </c:spPr>
          <c:invertIfNegative val="0"/>
          <c:cat>
            <c:strRef>
              <c:f>Sheet1!$A$53:$A$66</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Sheet1!$H$53:$H$66</c:f>
              <c:numCache>
                <c:formatCode>0%</c:formatCode>
                <c:ptCount val="14"/>
                <c:pt idx="0">
                  <c:v>0</c:v>
                </c:pt>
                <c:pt idx="1">
                  <c:v>3.1E-2</c:v>
                </c:pt>
                <c:pt idx="2">
                  <c:v>5.2000000000000005E-2</c:v>
                </c:pt>
                <c:pt idx="3">
                  <c:v>2.2000000000000002E-2</c:v>
                </c:pt>
                <c:pt idx="4">
                  <c:v>2.7000000000000003E-2</c:v>
                </c:pt>
                <c:pt idx="5">
                  <c:v>1.2E-2</c:v>
                </c:pt>
                <c:pt idx="6">
                  <c:v>-1E-3</c:v>
                </c:pt>
                <c:pt idx="7">
                  <c:v>0.01</c:v>
                </c:pt>
                <c:pt idx="8">
                  <c:v>0.03</c:v>
                </c:pt>
                <c:pt idx="9">
                  <c:v>2.4E-2</c:v>
                </c:pt>
                <c:pt idx="10">
                  <c:v>1.7000000000000001E-2</c:v>
                </c:pt>
                <c:pt idx="11">
                  <c:v>5.0000000000000001E-3</c:v>
                </c:pt>
                <c:pt idx="12">
                  <c:v>3.1E-2</c:v>
                </c:pt>
                <c:pt idx="13">
                  <c:v>0.10099999999999999</c:v>
                </c:pt>
              </c:numCache>
            </c:numRef>
          </c:val>
          <c:extLst>
            <c:ext xmlns:c16="http://schemas.microsoft.com/office/drawing/2014/chart" uri="{C3380CC4-5D6E-409C-BE32-E72D297353CC}">
              <c16:uniqueId val="{00000006-1D8D-4C6F-86A4-4BB6679B0A97}"/>
            </c:ext>
          </c:extLst>
        </c:ser>
        <c:dLbls>
          <c:showLegendKey val="0"/>
          <c:showVal val="0"/>
          <c:showCatName val="0"/>
          <c:showSerName val="0"/>
          <c:showPercent val="0"/>
          <c:showBubbleSize val="0"/>
        </c:dLbls>
        <c:gapWidth val="219"/>
        <c:overlap val="-27"/>
        <c:axId val="1916905072"/>
        <c:axId val="1134148752"/>
      </c:barChart>
      <c:catAx>
        <c:axId val="191690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148752"/>
        <c:crosses val="autoZero"/>
        <c:auto val="1"/>
        <c:lblAlgn val="ctr"/>
        <c:lblOffset val="100"/>
        <c:noMultiLvlLbl val="0"/>
      </c:catAx>
      <c:valAx>
        <c:axId val="113414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90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Sheet1!$B$52</c:f>
              <c:strCache>
                <c:ptCount val="1"/>
                <c:pt idx="0">
                  <c:v>precept</c:v>
                </c:pt>
              </c:strCache>
            </c:strRef>
          </c:tx>
          <c:spPr>
            <a:solidFill>
              <a:schemeClr val="accent1"/>
            </a:solidFill>
            <a:ln>
              <a:noFill/>
            </a:ln>
            <a:effectLst/>
            <a:sp3d/>
          </c:spPr>
          <c:invertIfNegative val="0"/>
          <c:cat>
            <c:strRef>
              <c:f>Sheet1!$A$53:$A$67</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Sheet1!$B$53:$B$67</c:f>
              <c:numCache>
                <c:formatCode>_-* #,##0_-;\-* #,##0_-;_-* "-"??_-;_-@_-</c:formatCode>
                <c:ptCount val="15"/>
                <c:pt idx="0">
                  <c:v>3184217135.4499011</c:v>
                </c:pt>
                <c:pt idx="1">
                  <c:v>3250932758.9025002</c:v>
                </c:pt>
                <c:pt idx="2">
                  <c:v>3313785393.7991991</c:v>
                </c:pt>
                <c:pt idx="3">
                  <c:v>2926467579.8021502</c:v>
                </c:pt>
                <c:pt idx="4">
                  <c:v>3013983622.5138907</c:v>
                </c:pt>
                <c:pt idx="5">
                  <c:v>3104554472.3710999</c:v>
                </c:pt>
                <c:pt idx="6">
                  <c:v>3214376883.5815001</c:v>
                </c:pt>
                <c:pt idx="7">
                  <c:v>3357048624.4094992</c:v>
                </c:pt>
                <c:pt idx="8">
                  <c:v>3637981043.5273008</c:v>
                </c:pt>
                <c:pt idx="9">
                  <c:v>4149480897.2233624</c:v>
                </c:pt>
                <c:pt idx="10">
                  <c:v>4420460476.4422836</c:v>
                </c:pt>
                <c:pt idx="11">
                  <c:v>4649233023.8298607</c:v>
                </c:pt>
                <c:pt idx="12">
                  <c:v>4932700000</c:v>
                </c:pt>
                <c:pt idx="13">
                  <c:v>5308600000</c:v>
                </c:pt>
              </c:numCache>
            </c:numRef>
          </c:val>
          <c:extLst>
            <c:ext xmlns:c16="http://schemas.microsoft.com/office/drawing/2014/chart" uri="{C3380CC4-5D6E-409C-BE32-E72D297353CC}">
              <c16:uniqueId val="{00000000-0BFD-445C-9DA8-24DA72BFAEAB}"/>
            </c:ext>
          </c:extLst>
        </c:ser>
        <c:ser>
          <c:idx val="1"/>
          <c:order val="1"/>
          <c:tx>
            <c:strRef>
              <c:f>Sheet1!$C$52</c:f>
              <c:strCache>
                <c:ptCount val="1"/>
              </c:strCache>
            </c:strRef>
          </c:tx>
          <c:spPr>
            <a:solidFill>
              <a:schemeClr val="accent2"/>
            </a:solidFill>
            <a:ln>
              <a:noFill/>
            </a:ln>
            <a:effectLst/>
            <a:sp3d/>
          </c:spPr>
          <c:invertIfNegative val="0"/>
          <c:cat>
            <c:strRef>
              <c:f>Sheet1!$A$53:$A$67</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Sheet1!$C$53:$C$67</c:f>
              <c:numCache>
                <c:formatCode>General</c:formatCode>
                <c:ptCount val="15"/>
              </c:numCache>
            </c:numRef>
          </c:val>
          <c:extLst>
            <c:ext xmlns:c16="http://schemas.microsoft.com/office/drawing/2014/chart" uri="{C3380CC4-5D6E-409C-BE32-E72D297353CC}">
              <c16:uniqueId val="{00000001-0BFD-445C-9DA8-24DA72BFAEAB}"/>
            </c:ext>
          </c:extLst>
        </c:ser>
        <c:ser>
          <c:idx val="2"/>
          <c:order val="2"/>
          <c:tx>
            <c:strRef>
              <c:f>Sheet1!$D$52</c:f>
              <c:strCache>
                <c:ptCount val="1"/>
                <c:pt idx="0">
                  <c:v>grant</c:v>
                </c:pt>
              </c:strCache>
            </c:strRef>
          </c:tx>
          <c:spPr>
            <a:solidFill>
              <a:schemeClr val="accent3"/>
            </a:solidFill>
            <a:ln>
              <a:noFill/>
            </a:ln>
            <a:effectLst/>
            <a:sp3d/>
          </c:spPr>
          <c:invertIfNegative val="0"/>
          <c:cat>
            <c:strRef>
              <c:f>Sheet1!$A$53:$A$67</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Sheet1!$D$53:$D$67</c:f>
              <c:numCache>
                <c:formatCode>_-* #,##0_-;\-* #,##0_-;_-* "-"??_-;_-@_-</c:formatCode>
                <c:ptCount val="15"/>
                <c:pt idx="0">
                  <c:v>9413929221.3460674</c:v>
                </c:pt>
                <c:pt idx="1">
                  <c:v>8912090207.9999962</c:v>
                </c:pt>
                <c:pt idx="2">
                  <c:v>8344087143.0722265</c:v>
                </c:pt>
                <c:pt idx="3">
                  <c:v>8719993036.2412262</c:v>
                </c:pt>
                <c:pt idx="4">
                  <c:v>8339119559.0000038</c:v>
                </c:pt>
                <c:pt idx="5">
                  <c:v>7785293470</c:v>
                </c:pt>
                <c:pt idx="6">
                  <c:v>7746466885.999999</c:v>
                </c:pt>
                <c:pt idx="7">
                  <c:v>7647716194.0000067</c:v>
                </c:pt>
                <c:pt idx="8">
                  <c:v>7648616193.9999971</c:v>
                </c:pt>
                <c:pt idx="9">
                  <c:v>7951194387.8534069</c:v>
                </c:pt>
                <c:pt idx="10">
                  <c:v>8511517094.8389893</c:v>
                </c:pt>
                <c:pt idx="11">
                  <c:v>9104102395.4207802</c:v>
                </c:pt>
                <c:pt idx="12">
                  <c:v>9622300000</c:v>
                </c:pt>
                <c:pt idx="13">
                  <c:v>10126700000</c:v>
                </c:pt>
              </c:numCache>
            </c:numRef>
          </c:val>
          <c:extLst>
            <c:ext xmlns:c16="http://schemas.microsoft.com/office/drawing/2014/chart" uri="{C3380CC4-5D6E-409C-BE32-E72D297353CC}">
              <c16:uniqueId val="{00000002-0BFD-445C-9DA8-24DA72BFAEAB}"/>
            </c:ext>
          </c:extLst>
        </c:ser>
        <c:dLbls>
          <c:showLegendKey val="0"/>
          <c:showVal val="0"/>
          <c:showCatName val="0"/>
          <c:showSerName val="0"/>
          <c:showPercent val="0"/>
          <c:showBubbleSize val="0"/>
        </c:dLbls>
        <c:gapWidth val="150"/>
        <c:shape val="box"/>
        <c:axId val="1767194976"/>
        <c:axId val="2046337680"/>
        <c:axId val="0"/>
      </c:bar3DChart>
      <c:catAx>
        <c:axId val="1767194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337680"/>
        <c:crosses val="autoZero"/>
        <c:auto val="1"/>
        <c:lblAlgn val="ctr"/>
        <c:lblOffset val="100"/>
        <c:noMultiLvlLbl val="0"/>
      </c:catAx>
      <c:valAx>
        <c:axId val="2046337680"/>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194976"/>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Robert Hardware</cp:lastModifiedBy>
  <cp:revision>3</cp:revision>
  <dcterms:created xsi:type="dcterms:W3CDTF">2024-03-25T11:19:00Z</dcterms:created>
  <dcterms:modified xsi:type="dcterms:W3CDTF">2024-03-25T11:20:00Z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2024-03-23T12:28:50Z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75417477-668c-4a0e-abe7-968e1d9ab7b6</vt:lpwstr>
  </property>
  <property fmtid="{D5CDD505-2E9C-101B-9397-08002B2CF9AE}" pid="8" name="MSIP_Label_8eaa0aa9-7845-4268-8f65-90cf4ea80712_ContentBits">
    <vt:lpwstr>0</vt:lpwstr>
  </property>
  <property fmtid="{D5CDD505-2E9C-101B-9397-08002B2CF9AE}" pid="9" name="MSIP_Label_a98ce926-556f-4b1d-a91b-c6365a99e315_Enabled">
    <vt:lpwstr>true</vt:lpwstr>
  </property>
  <property fmtid="{D5CDD505-2E9C-101B-9397-08002B2CF9AE}" pid="10" name="MSIP_Label_a98ce926-556f-4b1d-a91b-c6365a99e315_SetDate">
    <vt:lpwstr>2024-03-23T16:28:39Z</vt:lpwstr>
  </property>
  <property fmtid="{D5CDD505-2E9C-101B-9397-08002B2CF9AE}" pid="11" name="MSIP_Label_a98ce926-556f-4b1d-a91b-c6365a99e315_Method">
    <vt:lpwstr>Standard</vt:lpwstr>
  </property>
  <property fmtid="{D5CDD505-2E9C-101B-9397-08002B2CF9AE}" pid="12" name="MSIP_Label_a98ce926-556f-4b1d-a91b-c6365a99e315_Name">
    <vt:lpwstr>a98ce926-556f-4b1d-a91b-c6365a99e315</vt:lpwstr>
  </property>
  <property fmtid="{D5CDD505-2E9C-101B-9397-08002B2CF9AE}" pid="13" name="MSIP_Label_a98ce926-556f-4b1d-a91b-c6365a99e315_SiteId">
    <vt:lpwstr>63c6bc72-b093-42db-bf8a-14e2a998e211</vt:lpwstr>
  </property>
  <property fmtid="{D5CDD505-2E9C-101B-9397-08002B2CF9AE}" pid="14" name="MSIP_Label_a98ce926-556f-4b1d-a91b-c6365a99e315_ActionId">
    <vt:lpwstr>13e90402-0fa7-47a7-8c8f-5e226ce65370</vt:lpwstr>
  </property>
  <property fmtid="{D5CDD505-2E9C-101B-9397-08002B2CF9AE}" pid="15" name="MSIP_Label_a98ce926-556f-4b1d-a91b-c6365a99e315_ContentBits">
    <vt:lpwstr>0</vt:lpwstr>
  </property>
  <property fmtid="{D5CDD505-2E9C-101B-9397-08002B2CF9AE}" pid="16" name="MSIP_Label_b34ace26-a5ec-40e7-bce9-ae32956a3343_Enabled">
    <vt:lpwstr>true</vt:lpwstr>
  </property>
  <property fmtid="{D5CDD505-2E9C-101B-9397-08002B2CF9AE}" pid="17" name="MSIP_Label_b34ace26-a5ec-40e7-bce9-ae32956a3343_SetDate">
    <vt:lpwstr>2024-03-25T11:19:51Z</vt:lpwstr>
  </property>
  <property fmtid="{D5CDD505-2E9C-101B-9397-08002B2CF9AE}" pid="18" name="MSIP_Label_b34ace26-a5ec-40e7-bce9-ae32956a3343_Method">
    <vt:lpwstr>Standard</vt:lpwstr>
  </property>
  <property fmtid="{D5CDD505-2E9C-101B-9397-08002B2CF9AE}" pid="19" name="MSIP_Label_b34ace26-a5ec-40e7-bce9-ae32956a3343_Name">
    <vt:lpwstr>b34ace26-a5ec-40e7-bce9-ae32956a3343</vt:lpwstr>
  </property>
  <property fmtid="{D5CDD505-2E9C-101B-9397-08002B2CF9AE}" pid="20" name="MSIP_Label_b34ace26-a5ec-40e7-bce9-ae32956a3343_SiteId">
    <vt:lpwstr>1333559a-439a-4a0a-bdc0-a46cd38882d7</vt:lpwstr>
  </property>
  <property fmtid="{D5CDD505-2E9C-101B-9397-08002B2CF9AE}" pid="21" name="MSIP_Label_b34ace26-a5ec-40e7-bce9-ae32956a3343_ActionId">
    <vt:lpwstr>f90f9cac-14d8-4175-a973-cf61451572a7</vt:lpwstr>
  </property>
  <property fmtid="{D5CDD505-2E9C-101B-9397-08002B2CF9AE}" pid="22" name="MSIP_Label_b34ace26-a5ec-40e7-bce9-ae32956a3343_ContentBits">
    <vt:lpwstr>0</vt:lpwstr>
  </property>
</Properties>
</file>